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9A5" w:rsidRDefault="006A69A5" w:rsidP="00094F9B">
      <w:pPr>
        <w:pStyle w:val="Normlnweb"/>
        <w:spacing w:before="0" w:beforeAutospacing="0" w:after="0" w:afterAutospacing="0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Model:60360003</w:t>
      </w:r>
    </w:p>
    <w:p w:rsidR="0069200D" w:rsidRDefault="0069200D" w:rsidP="0069200D">
      <w:pPr>
        <w:pStyle w:val="Styl2"/>
        <w:jc w:val="both"/>
        <w:rPr>
          <w:rFonts w:asciiTheme="minorHAnsi" w:hAnsiTheme="minorHAnsi" w:cstheme="minorHAnsi"/>
          <w:szCs w:val="32"/>
        </w:rPr>
      </w:pPr>
      <w:r>
        <w:rPr>
          <w:rFonts w:asciiTheme="minorHAnsi" w:hAnsiTheme="minorHAnsi" w:cstheme="minorHAnsi"/>
          <w:szCs w:val="32"/>
        </w:rPr>
        <w:t xml:space="preserve">cz                                                                       </w:t>
      </w:r>
      <w:r>
        <w:rPr>
          <w:rFonts w:asciiTheme="minorHAnsi" w:hAnsiTheme="minorHAnsi" w:cstheme="minorHAnsi"/>
          <w:szCs w:val="32"/>
        </w:rPr>
        <w:tab/>
        <w:t xml:space="preserve">                            návod k použití</w:t>
      </w:r>
    </w:p>
    <w:p w:rsidR="00CB5982" w:rsidRDefault="00CB5982" w:rsidP="00094F9B">
      <w:pPr>
        <w:pStyle w:val="Normlnweb"/>
        <w:spacing w:before="0" w:beforeAutospacing="0" w:after="0" w:afterAutospacing="0"/>
        <w:rPr>
          <w:rFonts w:ascii="Calibri" w:hAnsi="Calibri"/>
          <w:b/>
          <w:bCs/>
          <w:color w:val="000000"/>
          <w:sz w:val="22"/>
          <w:szCs w:val="22"/>
        </w:rPr>
      </w:pPr>
      <w:bookmarkStart w:id="0" w:name="_GoBack"/>
      <w:bookmarkEnd w:id="0"/>
    </w:p>
    <w:p w:rsidR="00CB5982" w:rsidRDefault="00CB5982" w:rsidP="00094F9B">
      <w:pPr>
        <w:pStyle w:val="Normlnweb"/>
        <w:spacing w:before="0" w:beforeAutospacing="0" w:after="0" w:afterAutospacing="0"/>
        <w:rPr>
          <w:rFonts w:ascii="Calibri" w:hAnsi="Calibri"/>
          <w:b/>
          <w:bCs/>
          <w:color w:val="000000"/>
          <w:sz w:val="22"/>
          <w:szCs w:val="22"/>
        </w:rPr>
      </w:pPr>
    </w:p>
    <w:p w:rsidR="00CB5982" w:rsidRDefault="00CB5982" w:rsidP="00094F9B">
      <w:pPr>
        <w:pStyle w:val="Normlnweb"/>
        <w:spacing w:before="0" w:beforeAutospacing="0" w:after="0" w:afterAutospacing="0"/>
        <w:rPr>
          <w:rFonts w:ascii="Calibri" w:hAnsi="Calibri"/>
          <w:b/>
          <w:bCs/>
          <w:color w:val="000000"/>
          <w:sz w:val="22"/>
          <w:szCs w:val="22"/>
        </w:rPr>
      </w:pPr>
      <w:r w:rsidRPr="00CB5982">
        <w:rPr>
          <w:rFonts w:ascii="Calibri" w:hAnsi="Calibri"/>
          <w:b/>
          <w:bCs/>
          <w:noProof/>
          <w:color w:val="000000"/>
          <w:sz w:val="22"/>
          <w:szCs w:val="22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1024255</wp:posOffset>
            </wp:positionH>
            <wp:positionV relativeFrom="paragraph">
              <wp:posOffset>7620</wp:posOffset>
            </wp:positionV>
            <wp:extent cx="3705225" cy="2725220"/>
            <wp:effectExtent l="0" t="0" r="0" b="0"/>
            <wp:wrapNone/>
            <wp:docPr id="1" name="Obrázek 1" descr="C:\Users\svestka.DYME\Desktop\OCS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stka.DYME\Desktop\OCS 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7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69A5" w:rsidRDefault="006A69A5" w:rsidP="00094F9B">
      <w:pPr>
        <w:pStyle w:val="Normlnweb"/>
        <w:spacing w:before="0" w:beforeAutospacing="0" w:after="0" w:afterAutospacing="0"/>
        <w:rPr>
          <w:rFonts w:ascii="Calibri" w:hAnsi="Calibri"/>
          <w:b/>
          <w:bCs/>
          <w:color w:val="000000"/>
          <w:sz w:val="22"/>
          <w:szCs w:val="22"/>
        </w:rPr>
      </w:pPr>
    </w:p>
    <w:p w:rsidR="006A69A5" w:rsidRDefault="006A69A5" w:rsidP="00094F9B">
      <w:pPr>
        <w:pStyle w:val="Normlnweb"/>
        <w:spacing w:before="0" w:beforeAutospacing="0" w:after="0" w:afterAutospacing="0"/>
        <w:rPr>
          <w:rFonts w:ascii="Calibri" w:hAnsi="Calibri"/>
          <w:b/>
          <w:bCs/>
          <w:color w:val="000000"/>
          <w:sz w:val="22"/>
          <w:szCs w:val="22"/>
        </w:rPr>
      </w:pPr>
    </w:p>
    <w:p w:rsidR="006A69A5" w:rsidRDefault="006A69A5" w:rsidP="00094F9B">
      <w:pPr>
        <w:pStyle w:val="Normlnweb"/>
        <w:spacing w:before="0" w:beforeAutospacing="0" w:after="0" w:afterAutospacing="0"/>
        <w:rPr>
          <w:rFonts w:ascii="Calibri" w:hAnsi="Calibri"/>
          <w:b/>
          <w:bCs/>
          <w:color w:val="000000"/>
          <w:sz w:val="22"/>
          <w:szCs w:val="22"/>
        </w:rPr>
      </w:pPr>
    </w:p>
    <w:p w:rsidR="00CB5982" w:rsidRDefault="00CB5982" w:rsidP="00094F9B">
      <w:pPr>
        <w:pStyle w:val="Normlnweb"/>
        <w:spacing w:before="0" w:beforeAutospacing="0" w:after="0" w:afterAutospacing="0"/>
        <w:rPr>
          <w:rFonts w:ascii="Calibri" w:hAnsi="Calibri"/>
          <w:b/>
          <w:bCs/>
          <w:color w:val="000000"/>
          <w:sz w:val="22"/>
          <w:szCs w:val="22"/>
        </w:rPr>
      </w:pPr>
    </w:p>
    <w:p w:rsidR="00CB5982" w:rsidRDefault="00CB5982" w:rsidP="00CB5982">
      <w:pPr>
        <w:pStyle w:val="Normlnweb"/>
        <w:tabs>
          <w:tab w:val="left" w:pos="2850"/>
        </w:tabs>
        <w:spacing w:before="0" w:beforeAutospacing="0" w:after="0" w:afterAutospacing="0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ab/>
      </w:r>
    </w:p>
    <w:p w:rsidR="00CB5982" w:rsidRDefault="00CB5982" w:rsidP="00094F9B">
      <w:pPr>
        <w:pStyle w:val="Normlnweb"/>
        <w:spacing w:before="0" w:beforeAutospacing="0" w:after="0" w:afterAutospacing="0"/>
        <w:rPr>
          <w:rFonts w:ascii="Calibri" w:hAnsi="Calibri"/>
          <w:b/>
          <w:bCs/>
          <w:color w:val="000000"/>
          <w:sz w:val="22"/>
          <w:szCs w:val="22"/>
        </w:rPr>
      </w:pPr>
    </w:p>
    <w:p w:rsidR="00CB5982" w:rsidRDefault="00CB5982" w:rsidP="00094F9B">
      <w:pPr>
        <w:pStyle w:val="Normlnweb"/>
        <w:spacing w:before="0" w:beforeAutospacing="0" w:after="0" w:afterAutospacing="0"/>
        <w:rPr>
          <w:rFonts w:ascii="Calibri" w:hAnsi="Calibri"/>
          <w:b/>
          <w:bCs/>
          <w:color w:val="000000"/>
          <w:sz w:val="22"/>
          <w:szCs w:val="22"/>
        </w:rPr>
      </w:pPr>
    </w:p>
    <w:p w:rsidR="00CB5982" w:rsidRDefault="00CB5982" w:rsidP="00094F9B">
      <w:pPr>
        <w:pStyle w:val="Normlnweb"/>
        <w:spacing w:before="0" w:beforeAutospacing="0" w:after="0" w:afterAutospacing="0"/>
        <w:rPr>
          <w:rFonts w:ascii="Calibri" w:hAnsi="Calibri"/>
          <w:b/>
          <w:bCs/>
          <w:color w:val="000000"/>
          <w:sz w:val="22"/>
          <w:szCs w:val="22"/>
        </w:rPr>
      </w:pPr>
    </w:p>
    <w:p w:rsidR="00CB5982" w:rsidRDefault="00CB5982" w:rsidP="00094F9B">
      <w:pPr>
        <w:pStyle w:val="Normlnweb"/>
        <w:spacing w:before="0" w:beforeAutospacing="0" w:after="0" w:afterAutospacing="0"/>
        <w:rPr>
          <w:rFonts w:ascii="Calibri" w:hAnsi="Calibri"/>
          <w:b/>
          <w:bCs/>
          <w:color w:val="000000"/>
          <w:sz w:val="22"/>
          <w:szCs w:val="22"/>
        </w:rPr>
      </w:pPr>
    </w:p>
    <w:p w:rsidR="00CB5982" w:rsidRDefault="00CB5982" w:rsidP="00094F9B">
      <w:pPr>
        <w:pStyle w:val="Normlnweb"/>
        <w:spacing w:before="0" w:beforeAutospacing="0" w:after="0" w:afterAutospacing="0"/>
        <w:rPr>
          <w:rFonts w:ascii="Calibri" w:hAnsi="Calibri"/>
          <w:b/>
          <w:bCs/>
          <w:color w:val="000000"/>
          <w:sz w:val="22"/>
          <w:szCs w:val="22"/>
        </w:rPr>
      </w:pPr>
    </w:p>
    <w:p w:rsidR="00CB5982" w:rsidRDefault="00CB5982" w:rsidP="00094F9B">
      <w:pPr>
        <w:pStyle w:val="Normlnweb"/>
        <w:spacing w:before="0" w:beforeAutospacing="0" w:after="0" w:afterAutospacing="0"/>
        <w:rPr>
          <w:rFonts w:ascii="Calibri" w:hAnsi="Calibri"/>
          <w:b/>
          <w:bCs/>
          <w:color w:val="000000"/>
          <w:sz w:val="22"/>
          <w:szCs w:val="22"/>
        </w:rPr>
      </w:pPr>
    </w:p>
    <w:p w:rsidR="00CB5982" w:rsidRDefault="00CB5982" w:rsidP="00094F9B">
      <w:pPr>
        <w:pStyle w:val="Normlnweb"/>
        <w:spacing w:before="0" w:beforeAutospacing="0" w:after="0" w:afterAutospacing="0"/>
        <w:rPr>
          <w:rFonts w:ascii="Calibri" w:hAnsi="Calibri"/>
          <w:b/>
          <w:bCs/>
          <w:color w:val="000000"/>
          <w:sz w:val="22"/>
          <w:szCs w:val="22"/>
        </w:rPr>
      </w:pPr>
    </w:p>
    <w:p w:rsidR="00CB5982" w:rsidRDefault="00CB5982" w:rsidP="00094F9B">
      <w:pPr>
        <w:pStyle w:val="Normlnweb"/>
        <w:spacing w:before="0" w:beforeAutospacing="0" w:after="0" w:afterAutospacing="0"/>
        <w:rPr>
          <w:rFonts w:ascii="Calibri" w:hAnsi="Calibri"/>
          <w:b/>
          <w:bCs/>
          <w:color w:val="000000"/>
          <w:sz w:val="22"/>
          <w:szCs w:val="22"/>
        </w:rPr>
      </w:pPr>
    </w:p>
    <w:p w:rsidR="00CB5982" w:rsidRDefault="00CB5982" w:rsidP="00094F9B">
      <w:pPr>
        <w:pStyle w:val="Normlnweb"/>
        <w:spacing w:before="0" w:beforeAutospacing="0" w:after="0" w:afterAutospacing="0"/>
        <w:rPr>
          <w:rFonts w:ascii="Calibri" w:hAnsi="Calibri"/>
          <w:b/>
          <w:bCs/>
          <w:color w:val="000000"/>
          <w:sz w:val="22"/>
          <w:szCs w:val="22"/>
        </w:rPr>
      </w:pPr>
    </w:p>
    <w:p w:rsidR="006A69A5" w:rsidRDefault="006A69A5" w:rsidP="00094F9B">
      <w:pPr>
        <w:pStyle w:val="Normlnweb"/>
        <w:spacing w:before="0" w:beforeAutospacing="0" w:after="0" w:afterAutospacing="0"/>
        <w:rPr>
          <w:rFonts w:ascii="Calibri" w:hAnsi="Calibri"/>
          <w:b/>
          <w:bCs/>
          <w:color w:val="000000"/>
          <w:sz w:val="22"/>
          <w:szCs w:val="22"/>
        </w:rPr>
      </w:pPr>
    </w:p>
    <w:p w:rsidR="00094F9B" w:rsidRDefault="00094F9B" w:rsidP="00094F9B">
      <w:pPr>
        <w:pStyle w:val="Normlnweb"/>
        <w:spacing w:before="0" w:beforeAutospacing="0" w:after="0" w:afterAutospacing="0"/>
      </w:pPr>
      <w:r>
        <w:rPr>
          <w:rFonts w:ascii="Calibri" w:hAnsi="Calibri"/>
          <w:b/>
          <w:bCs/>
          <w:color w:val="000000"/>
          <w:sz w:val="22"/>
          <w:szCs w:val="22"/>
        </w:rPr>
        <w:t>ÚVOD</w:t>
      </w:r>
    </w:p>
    <w:p w:rsidR="00094F9B" w:rsidRDefault="00094F9B" w:rsidP="00094F9B">
      <w:pPr>
        <w:pStyle w:val="Normlnweb"/>
        <w:spacing w:before="0" w:beforeAutospacing="0" w:after="0" w:afterAutospacing="0"/>
      </w:pPr>
      <w:r>
        <w:rPr>
          <w:rFonts w:ascii="Calibri" w:hAnsi="Calibri"/>
          <w:color w:val="000000"/>
          <w:sz w:val="22"/>
          <w:szCs w:val="22"/>
        </w:rPr>
        <w:t xml:space="preserve">Abyste Vaši novou elektrickou udírnu využili na plno, prosím pečlivě si pročtěte tyto instrukce. Zvláštní pozornost potom věnujte bezpečnostním pokynům. Také Vám doporučujeme ponechat si návod k použití pro pozdější potřebu. </w:t>
      </w:r>
      <w:r>
        <w:rPr>
          <w:rFonts w:ascii="Calibri" w:hAnsi="Calibri"/>
          <w:color w:val="000000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br/>
      </w:r>
      <w:r>
        <w:rPr>
          <w:rFonts w:ascii="Calibri" w:hAnsi="Calibri"/>
          <w:b/>
          <w:bCs/>
          <w:color w:val="000000"/>
          <w:sz w:val="22"/>
          <w:szCs w:val="22"/>
        </w:rPr>
        <w:t>OBECNÉ BEZPEČNOSTNÍ POKYNY</w:t>
      </w:r>
    </w:p>
    <w:p w:rsidR="00094F9B" w:rsidRDefault="00094F9B" w:rsidP="00094F9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Toto zařízení smí používat pouze děti starší 8 let a lidé s omezenou pohyblivostí či mentálním postižením nebo lidé bez zkušeností či vědomostmi o zařízení pokud jsou pod dozorem nebo byli poučeni o bezpečném použití přístroje a rozumí možným rizikům. Děti si nesmí se zařízením hrát. Čištění a údržba nesmí být prováděna dětmi bez dozoru.</w:t>
      </w:r>
    </w:p>
    <w:p w:rsidR="00094F9B" w:rsidRDefault="00094F9B" w:rsidP="00094F9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Zařízení mějte během používání pod neustálým dohledem. Mějte děti pod dohledem, pokud se pohybují v okolí zařízení, které je zapnuté. Zařízení není hračka.</w:t>
      </w:r>
    </w:p>
    <w:p w:rsidR="00094F9B" w:rsidRDefault="00094F9B" w:rsidP="00094F9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Nesprávné užití zařízení může způsobit zranění či poškodit zařízení.</w:t>
      </w:r>
    </w:p>
    <w:p w:rsidR="00094F9B" w:rsidRDefault="00094F9B" w:rsidP="00094F9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Zařízení používejte pouze k předurčenému účelu. Výrobce není zodpovědný za žádné  zranění či škodu způsobenou nesprávným používáním či zacházením se zařízením. (viz. Záruční podmínky)</w:t>
      </w:r>
    </w:p>
    <w:p w:rsidR="00094F9B" w:rsidRDefault="00094F9B" w:rsidP="00094F9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Pokud je zařízení, kabel nebo zástrčka poškozená, nechte zařízení zkontrolovat (případně opravit) u autorizovaného opraváře.</w:t>
      </w:r>
    </w:p>
    <w:p w:rsidR="00094F9B" w:rsidRDefault="00094F9B" w:rsidP="00094F9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Připojte </w:t>
      </w:r>
      <w:proofErr w:type="gramStart"/>
      <w:r>
        <w:rPr>
          <w:rFonts w:ascii="Calibri" w:hAnsi="Calibri" w:cs="Arial"/>
          <w:color w:val="000000"/>
          <w:sz w:val="22"/>
          <w:szCs w:val="22"/>
        </w:rPr>
        <w:t>pouze k 230</w:t>
      </w:r>
      <w:proofErr w:type="gramEnd"/>
      <w:r>
        <w:rPr>
          <w:rFonts w:ascii="Calibri" w:hAnsi="Calibri" w:cs="Arial"/>
          <w:color w:val="000000"/>
          <w:sz w:val="22"/>
          <w:szCs w:val="22"/>
        </w:rPr>
        <w:t xml:space="preserve"> V, 50 Hz. Záruka je </w:t>
      </w:r>
      <w:proofErr w:type="gramStart"/>
      <w:r>
        <w:rPr>
          <w:rFonts w:ascii="Calibri" w:hAnsi="Calibri" w:cs="Arial"/>
          <w:color w:val="000000"/>
          <w:sz w:val="22"/>
          <w:szCs w:val="22"/>
        </w:rPr>
        <w:t>neplatná pokud</w:t>
      </w:r>
      <w:proofErr w:type="gramEnd"/>
      <w:r>
        <w:rPr>
          <w:rFonts w:ascii="Calibri" w:hAnsi="Calibri" w:cs="Arial"/>
          <w:color w:val="000000"/>
          <w:sz w:val="22"/>
          <w:szCs w:val="22"/>
        </w:rPr>
        <w:t xml:space="preserve"> je zařízení připojené k nesprávnému napětí.</w:t>
      </w:r>
    </w:p>
    <w:p w:rsidR="00094F9B" w:rsidRDefault="00094F9B" w:rsidP="00094F9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Nikdy se nepokoušejte opravit zařízení vlastními silami. Prosím kontaktujte obchod, kde jste zařízení zakoupili pro opravu v záruční lhůtě.</w:t>
      </w:r>
    </w:p>
    <w:p w:rsidR="00094F9B" w:rsidRDefault="00094F9B" w:rsidP="00094F9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Nepovolené opravy či úpravy zařízení zneplatní záruku. </w:t>
      </w:r>
    </w:p>
    <w:p w:rsidR="00094F9B" w:rsidRDefault="00094F9B" w:rsidP="00094F9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Upozornění! Některé části zařízení se mohou velmi zahřát a způsobit popáleniny. Zvláště pozorní byste měli </w:t>
      </w:r>
      <w:proofErr w:type="gramStart"/>
      <w:r>
        <w:rPr>
          <w:rFonts w:ascii="Calibri" w:hAnsi="Calibri" w:cs="Arial"/>
          <w:color w:val="000000"/>
          <w:sz w:val="22"/>
          <w:szCs w:val="22"/>
        </w:rPr>
        <w:t>být pokud</w:t>
      </w:r>
      <w:proofErr w:type="gramEnd"/>
      <w:r>
        <w:rPr>
          <w:rFonts w:ascii="Calibri" w:hAnsi="Calibri" w:cs="Arial"/>
          <w:color w:val="000000"/>
          <w:sz w:val="22"/>
          <w:szCs w:val="22"/>
        </w:rPr>
        <w:t xml:space="preserve"> se v okolí horkého zařízení pohybují děti či citlivé osoby.</w:t>
      </w:r>
    </w:p>
    <w:p w:rsidR="00094F9B" w:rsidRDefault="00094F9B" w:rsidP="00094F9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Držte zařízení a jeho kabel mimo dosah dětí do 8 let.</w:t>
      </w:r>
    </w:p>
    <w:p w:rsidR="00094F9B" w:rsidRDefault="00094F9B" w:rsidP="00094F9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Zařízení je určeno pouze k venkovnímu použití, nikoliv k použití v uzavřených prostorech.</w:t>
      </w:r>
    </w:p>
    <w:p w:rsidR="00094F9B" w:rsidRDefault="00094F9B" w:rsidP="00094F9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Odstraňte veškeré obaly a přepravní materiály zevnitř a zvenku zařízení.</w:t>
      </w:r>
    </w:p>
    <w:p w:rsidR="00094F9B" w:rsidRDefault="00094F9B" w:rsidP="00094F9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Zkontrolujte, zda zařízení není viditelně poškozené nebo zda nechybí nějaké části.</w:t>
      </w:r>
    </w:p>
    <w:p w:rsidR="00094F9B" w:rsidRDefault="00094F9B" w:rsidP="00094F9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lastRenderedPageBreak/>
        <w:t xml:space="preserve">Nepoužívejte zařízení s jinými </w:t>
      </w:r>
      <w:proofErr w:type="gramStart"/>
      <w:r>
        <w:rPr>
          <w:rFonts w:ascii="Calibri" w:hAnsi="Calibri" w:cs="Arial"/>
          <w:color w:val="000000"/>
          <w:sz w:val="22"/>
          <w:szCs w:val="22"/>
        </w:rPr>
        <w:t>kabely než</w:t>
      </w:r>
      <w:proofErr w:type="gramEnd"/>
      <w:r>
        <w:rPr>
          <w:rFonts w:ascii="Calibri" w:hAnsi="Calibri" w:cs="Arial"/>
          <w:color w:val="000000"/>
          <w:sz w:val="22"/>
          <w:szCs w:val="22"/>
        </w:rPr>
        <w:t xml:space="preserve"> které byly dodány se zařízením.</w:t>
      </w:r>
    </w:p>
    <w:p w:rsidR="00094F9B" w:rsidRDefault="00094F9B" w:rsidP="00094F9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Zkontrolujte, zda nehrozí vytrhnutí kabelu či zakopnutí o kabel nebo prodlužovací kabel.</w:t>
      </w:r>
    </w:p>
    <w:p w:rsidR="00094F9B" w:rsidRDefault="00094F9B" w:rsidP="00094F9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Zařízení nesmí být používáno společně s časovým spínačem či samostatným systémem dálkového ovládání.</w:t>
      </w:r>
    </w:p>
    <w:p w:rsidR="00094F9B" w:rsidRDefault="00094F9B" w:rsidP="00094F9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Pokud zařízení nepoužíváte nebo se jej chystáte čistit, vypněte jej a vypojte z elektriky.</w:t>
      </w:r>
    </w:p>
    <w:p w:rsidR="00094F9B" w:rsidRDefault="00094F9B" w:rsidP="00094F9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Vyhněte se tahání za kabel při vypojování z elektriky, místo toho jej vypojte za zástrčku.</w:t>
      </w:r>
    </w:p>
    <w:p w:rsidR="00094F9B" w:rsidRDefault="00094F9B" w:rsidP="00094F9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Udržujte zařízení i kabel od zdrojů tepla, horkých objektů či otevřeného ohně.</w:t>
      </w:r>
    </w:p>
    <w:p w:rsidR="00094F9B" w:rsidRDefault="00094F9B" w:rsidP="00094F9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Ujistěte se, že je kabel plně vytažený.</w:t>
      </w:r>
    </w:p>
    <w:p w:rsidR="00094F9B" w:rsidRDefault="00094F9B" w:rsidP="00094F9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Kabel nesmí být obtočený či jinak zaseknutý pod zařízením.</w:t>
      </w:r>
    </w:p>
    <w:p w:rsidR="00094F9B" w:rsidRDefault="00094F9B" w:rsidP="00094F9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proofErr w:type="gramStart"/>
      <w:r>
        <w:rPr>
          <w:rFonts w:ascii="Calibri" w:hAnsi="Calibri" w:cs="Arial"/>
          <w:color w:val="000000"/>
          <w:sz w:val="22"/>
          <w:szCs w:val="22"/>
        </w:rPr>
        <w:t>Pravidelně</w:t>
      </w:r>
      <w:proofErr w:type="gramEnd"/>
      <w:r>
        <w:rPr>
          <w:rFonts w:ascii="Calibri" w:hAnsi="Calibri" w:cs="Arial"/>
          <w:color w:val="000000"/>
          <w:sz w:val="22"/>
          <w:szCs w:val="22"/>
        </w:rPr>
        <w:t xml:space="preserve"> kontrolujte stav kabelu i zástrčky a </w:t>
      </w:r>
      <w:proofErr w:type="gramStart"/>
      <w:r>
        <w:rPr>
          <w:rFonts w:ascii="Calibri" w:hAnsi="Calibri" w:cs="Arial"/>
          <w:color w:val="000000"/>
          <w:sz w:val="22"/>
          <w:szCs w:val="22"/>
        </w:rPr>
        <w:t>pokud</w:t>
      </w:r>
      <w:proofErr w:type="gramEnd"/>
      <w:r>
        <w:rPr>
          <w:rFonts w:ascii="Calibri" w:hAnsi="Calibri" w:cs="Arial"/>
          <w:color w:val="000000"/>
          <w:sz w:val="22"/>
          <w:szCs w:val="22"/>
        </w:rPr>
        <w:t xml:space="preserve"> se na jednom z nich objevní známka poškození, zařízení nepoužívejte. Nepoužívejte jej </w:t>
      </w:r>
      <w:proofErr w:type="gramStart"/>
      <w:r>
        <w:rPr>
          <w:rFonts w:ascii="Calibri" w:hAnsi="Calibri" w:cs="Arial"/>
          <w:color w:val="000000"/>
          <w:sz w:val="22"/>
          <w:szCs w:val="22"/>
        </w:rPr>
        <w:t>ani pokud</w:t>
      </w:r>
      <w:proofErr w:type="gramEnd"/>
      <w:r>
        <w:rPr>
          <w:rFonts w:ascii="Calibri" w:hAnsi="Calibri" w:cs="Arial"/>
          <w:color w:val="000000"/>
          <w:sz w:val="22"/>
          <w:szCs w:val="22"/>
        </w:rPr>
        <w:t xml:space="preserve"> spadlo na zem, do vody nebo jinak poškozeno.</w:t>
      </w:r>
    </w:p>
    <w:p w:rsidR="00094F9B" w:rsidRDefault="00094F9B" w:rsidP="00094F9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Zařízení musí být umístěno na rovném, stabilním, teplu vzdorném a nehořlavém povrchu, např. dlažební kámen či beton. Základna zařízení se velmi zahřívá. Neumisťujte zařízení přímo na trávník, dřevěné povrchy nebo podobné.</w:t>
      </w:r>
    </w:p>
    <w:p w:rsidR="00094F9B" w:rsidRDefault="00094F9B" w:rsidP="00094F9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Umístěte zařízení tak, aby se nemohlo převrátit větrem.</w:t>
      </w:r>
    </w:p>
    <w:p w:rsidR="00094F9B" w:rsidRDefault="00094F9B" w:rsidP="00094F9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Zamezte styku s hořlavými věcmi či tekutinami.</w:t>
      </w:r>
    </w:p>
    <w:p w:rsidR="00094F9B" w:rsidRDefault="00094F9B" w:rsidP="00094F9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Zařízení smí být používáno pouze s topným tělesem.</w:t>
      </w:r>
    </w:p>
    <w:p w:rsidR="00094F9B" w:rsidRDefault="00094F9B" w:rsidP="00094F9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Nepoužívejte otevřený oheň a uhlí, brikety, dřevo, alkohol apod. k ohřátí zařízení.</w:t>
      </w:r>
    </w:p>
    <w:p w:rsidR="00094F9B" w:rsidRDefault="00094F9B" w:rsidP="00094F9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Zařízení umístěte na místo, kde nebude vadit kouř. Neumisťujte jej k otevřeným oknům nebo dveřím, k sušícímu se prádlu, k dětem v kočárcích nebo útulcích pro lidi či zvířata.</w:t>
      </w:r>
    </w:p>
    <w:p w:rsidR="00094F9B" w:rsidRDefault="00094F9B" w:rsidP="00094F9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Zařízení by mělo být umístěno mimo dosah dětí a zvířat. Nenechávejte zařízení bez </w:t>
      </w:r>
      <w:proofErr w:type="gramStart"/>
      <w:r>
        <w:rPr>
          <w:rFonts w:ascii="Calibri" w:hAnsi="Calibri" w:cs="Arial"/>
          <w:color w:val="000000"/>
          <w:sz w:val="22"/>
          <w:szCs w:val="22"/>
        </w:rPr>
        <w:t>dozoru pokud</w:t>
      </w:r>
      <w:proofErr w:type="gramEnd"/>
      <w:r>
        <w:rPr>
          <w:rFonts w:ascii="Calibri" w:hAnsi="Calibri" w:cs="Arial"/>
          <w:color w:val="000000"/>
          <w:sz w:val="22"/>
          <w:szCs w:val="22"/>
        </w:rPr>
        <w:t xml:space="preserve"> je zapnuté nebo pokud je ještě horké.</w:t>
      </w:r>
    </w:p>
    <w:p w:rsidR="00094F9B" w:rsidRDefault="00094F9B" w:rsidP="00094F9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Se zařízením se nesmí </w:t>
      </w:r>
      <w:proofErr w:type="gramStart"/>
      <w:r>
        <w:rPr>
          <w:rFonts w:ascii="Calibri" w:hAnsi="Calibri" w:cs="Arial"/>
          <w:color w:val="000000"/>
          <w:sz w:val="22"/>
          <w:szCs w:val="22"/>
        </w:rPr>
        <w:t>hýbat pokud</w:t>
      </w:r>
      <w:proofErr w:type="gramEnd"/>
      <w:r>
        <w:rPr>
          <w:rFonts w:ascii="Calibri" w:hAnsi="Calibri" w:cs="Arial"/>
          <w:color w:val="000000"/>
          <w:sz w:val="22"/>
          <w:szCs w:val="22"/>
        </w:rPr>
        <w:t xml:space="preserve"> je zapnuté nebo pokud je ještě horké.</w:t>
      </w:r>
    </w:p>
    <w:p w:rsidR="00094F9B" w:rsidRDefault="00094F9B" w:rsidP="00094F9B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Pokud je to nutné, použijte prodlužovací kabel, ne však delší než 5 metrů. Prodlužovací kabel musí být schválen pro venkovní použití.</w:t>
      </w:r>
    </w:p>
    <w:p w:rsidR="00094F9B" w:rsidRDefault="00094F9B" w:rsidP="00094F9B">
      <w:pPr>
        <w:pStyle w:val="Normlnweb"/>
        <w:spacing w:before="0" w:beforeAutospacing="0" w:after="0" w:afterAutospacing="0"/>
        <w:rPr>
          <w:rFonts w:ascii="Calibri" w:hAnsi="Calibri"/>
          <w:b/>
          <w:bCs/>
          <w:color w:val="000000"/>
          <w:sz w:val="22"/>
          <w:szCs w:val="22"/>
        </w:rPr>
      </w:pPr>
    </w:p>
    <w:p w:rsidR="00094F9B" w:rsidRDefault="00094F9B" w:rsidP="00094F9B">
      <w:pPr>
        <w:pStyle w:val="Normlnweb"/>
        <w:spacing w:before="0" w:beforeAutospacing="0" w:after="0" w:afterAutospacing="0"/>
      </w:pPr>
      <w:r>
        <w:rPr>
          <w:rFonts w:ascii="Calibri" w:hAnsi="Calibri"/>
          <w:b/>
          <w:bCs/>
          <w:color w:val="000000"/>
          <w:sz w:val="22"/>
          <w:szCs w:val="22"/>
        </w:rPr>
        <w:t>SPECIÁLNÍ BEZPEČNOSTÍ POKYNY</w:t>
      </w:r>
    </w:p>
    <w:p w:rsidR="00094F9B" w:rsidRDefault="00094F9B" w:rsidP="00094F9B">
      <w:pPr>
        <w:pStyle w:val="Normln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Zařízení je určeno pouze k venkovnímu použití ve volném prostoru. Za žádných podmínek by se zařízení nemělo používat ve vnitřních, uzavřených místnostech nebo v prostorech s nedostatečným odvětráváním. Kolem zařízení by měly být minimálně 2 metry volného prostoru.</w:t>
      </w:r>
    </w:p>
    <w:p w:rsidR="00094F9B" w:rsidRDefault="00094F9B" w:rsidP="00094F9B">
      <w:pPr>
        <w:pStyle w:val="Normln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Přestože je udírna klasifikovaná IPX4, nesmí být skladována nebo používána v otevřeném prostoru.</w:t>
      </w:r>
    </w:p>
    <w:p w:rsidR="00094F9B" w:rsidRPr="00CD0733" w:rsidRDefault="00094F9B" w:rsidP="00094F9B">
      <w:pPr>
        <w:pStyle w:val="Normln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Používejte udírnu pod střechou nebo v garáži. Skladujte pod plachtou.</w:t>
      </w:r>
    </w:p>
    <w:p w:rsidR="00CD0733" w:rsidRPr="00CD0733" w:rsidRDefault="00CD0733" w:rsidP="00094F9B">
      <w:pPr>
        <w:pStyle w:val="Normln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Zařízení musí být umístěno na rovném, stabilním, teplovzdorném a nehořlavém povrchu, například dlažební kámen nebo beton. Podstavec zařízení se velmi zahřívá. Neumisťujte proto zařízení přímo a trávník, dřevěné povrchy nebo podobné.</w:t>
      </w:r>
    </w:p>
    <w:p w:rsidR="00CD0733" w:rsidRPr="00CD0733" w:rsidRDefault="00CD0733" w:rsidP="00094F9B">
      <w:pPr>
        <w:pStyle w:val="Normln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Vždy použijte držák při manipulaci s mřížemi, pokud je zařízení horké.</w:t>
      </w:r>
    </w:p>
    <w:p w:rsidR="00CD0733" w:rsidRDefault="00CD0733" w:rsidP="00CD0733">
      <w:pPr>
        <w:pStyle w:val="Normln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Používejte pouze suché dřevo/třísky.</w:t>
      </w:r>
    </w:p>
    <w:p w:rsidR="00CD0733" w:rsidRDefault="00CD0733" w:rsidP="00CD0733">
      <w:pPr>
        <w:pStyle w:val="Normln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Popel nesmí být vyhozen do pytle na </w:t>
      </w:r>
      <w:proofErr w:type="gramStart"/>
      <w:r>
        <w:rPr>
          <w:rFonts w:ascii="Calibri" w:hAnsi="Calibri" w:cs="Arial"/>
          <w:color w:val="000000"/>
          <w:sz w:val="22"/>
          <w:szCs w:val="22"/>
        </w:rPr>
        <w:t>odpad dokud</w:t>
      </w:r>
      <w:proofErr w:type="gramEnd"/>
      <w:r>
        <w:rPr>
          <w:rFonts w:ascii="Calibri" w:hAnsi="Calibri" w:cs="Arial"/>
          <w:color w:val="000000"/>
          <w:sz w:val="22"/>
          <w:szCs w:val="22"/>
        </w:rPr>
        <w:t xml:space="preserve"> není úplně studený.</w:t>
      </w:r>
    </w:p>
    <w:p w:rsidR="00CD0733" w:rsidRDefault="00CD0733" w:rsidP="00CD0733">
      <w:pPr>
        <w:pStyle w:val="Normln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Zařízení vyčistěte po každém použití.</w:t>
      </w:r>
    </w:p>
    <w:p w:rsidR="00CD0733" w:rsidRDefault="00CD0733" w:rsidP="00CD0733">
      <w:pPr>
        <w:pStyle w:val="Normln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Komponenty nesmí být překryté hliníkovou folií, mohlo by to zapříčinit přehřátí zařízení.</w:t>
      </w:r>
    </w:p>
    <w:p w:rsidR="00CD0733" w:rsidRDefault="00CD0733" w:rsidP="00CD0733">
      <w:pPr>
        <w:pStyle w:val="Normln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Dbejte zvýšené opatrnosti na ostré hrany při sestavování zařízení, hrozí nebezpečí pořezání.</w:t>
      </w:r>
    </w:p>
    <w:p w:rsidR="00CD0733" w:rsidRDefault="00CD0733" w:rsidP="00CD0733">
      <w:pPr>
        <w:pStyle w:val="Normln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:rsidR="00ED7576" w:rsidRDefault="00ED7576" w:rsidP="00CD0733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b/>
          <w:color w:val="000000"/>
          <w:sz w:val="22"/>
          <w:szCs w:val="22"/>
        </w:rPr>
      </w:pPr>
    </w:p>
    <w:p w:rsidR="00ED7576" w:rsidRDefault="005C0CA7" w:rsidP="00CD0733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b/>
          <w:color w:val="000000"/>
          <w:sz w:val="22"/>
          <w:szCs w:val="22"/>
        </w:rPr>
      </w:pPr>
      <w:r>
        <w:rPr>
          <w:rFonts w:asciiTheme="minorHAnsi" w:hAnsiTheme="minorHAnsi" w:cs="Arial"/>
          <w:b/>
          <w:color w:val="000000"/>
          <w:sz w:val="22"/>
          <w:szCs w:val="22"/>
        </w:rPr>
        <w:t>HLAVNÍ KOMPONENTY</w:t>
      </w:r>
      <w:r>
        <w:rPr>
          <w:rFonts w:asciiTheme="minorHAnsi" w:hAnsiTheme="minorHAnsi" w:cs="Arial"/>
          <w:b/>
          <w:color w:val="000000"/>
          <w:sz w:val="22"/>
          <w:szCs w:val="22"/>
        </w:rPr>
        <w:tab/>
      </w:r>
      <w:r>
        <w:rPr>
          <w:rFonts w:asciiTheme="minorHAnsi" w:hAnsiTheme="minorHAnsi" w:cs="Arial"/>
          <w:b/>
          <w:color w:val="000000"/>
          <w:sz w:val="22"/>
          <w:szCs w:val="22"/>
        </w:rPr>
        <w:tab/>
      </w:r>
      <w:r>
        <w:rPr>
          <w:rFonts w:asciiTheme="minorHAnsi" w:hAnsiTheme="minorHAnsi" w:cs="Arial"/>
          <w:b/>
          <w:color w:val="000000"/>
          <w:sz w:val="22"/>
          <w:szCs w:val="22"/>
        </w:rPr>
        <w:tab/>
      </w:r>
      <w:r>
        <w:rPr>
          <w:rFonts w:asciiTheme="minorHAnsi" w:hAnsiTheme="minorHAnsi" w:cs="Arial"/>
          <w:b/>
          <w:color w:val="000000"/>
          <w:sz w:val="22"/>
          <w:szCs w:val="22"/>
        </w:rPr>
        <w:tab/>
      </w:r>
      <w:r>
        <w:rPr>
          <w:rFonts w:asciiTheme="minorHAnsi" w:hAnsiTheme="minorHAnsi" w:cs="Arial"/>
          <w:b/>
          <w:color w:val="000000"/>
          <w:sz w:val="22"/>
          <w:szCs w:val="22"/>
        </w:rPr>
        <w:tab/>
      </w:r>
      <w:r>
        <w:rPr>
          <w:rFonts w:asciiTheme="minorHAnsi" w:hAnsiTheme="minorHAnsi" w:cs="Arial"/>
          <w:b/>
          <w:color w:val="000000"/>
          <w:sz w:val="22"/>
          <w:szCs w:val="22"/>
        </w:rPr>
        <w:tab/>
        <w:t>VYSVĚTLIVKY</w:t>
      </w:r>
    </w:p>
    <w:p w:rsidR="00ED7576" w:rsidRDefault="005C0CA7" w:rsidP="00CD0733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b/>
          <w:color w:val="000000"/>
          <w:sz w:val="22"/>
          <w:szCs w:val="22"/>
        </w:rPr>
      </w:pPr>
      <w:r>
        <w:rPr>
          <w:rFonts w:asciiTheme="minorHAnsi" w:hAnsiTheme="minorHAnsi" w:cs="Arial"/>
          <w:b/>
          <w:noProof/>
          <w:color w:val="000000"/>
          <w:sz w:val="22"/>
          <w:szCs w:val="2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3429635</wp:posOffset>
            </wp:positionH>
            <wp:positionV relativeFrom="paragraph">
              <wp:posOffset>170815</wp:posOffset>
            </wp:positionV>
            <wp:extent cx="2771140" cy="2552700"/>
            <wp:effectExtent l="19050" t="0" r="0" b="0"/>
            <wp:wrapSquare wrapText="bothSides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14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733" w:rsidRPr="00747ABA" w:rsidRDefault="00FB7A0D" w:rsidP="00FB7A0D">
      <w:pPr>
        <w:pStyle w:val="Normlnweb"/>
        <w:tabs>
          <w:tab w:val="left" w:pos="7938"/>
        </w:tabs>
        <w:spacing w:before="0" w:beforeAutospacing="0" w:after="0" w:afterAutospacing="0"/>
        <w:textAlignment w:val="baseline"/>
        <w:rPr>
          <w:rFonts w:asciiTheme="minorHAnsi" w:hAnsiTheme="minorHAnsi" w:cs="Arial"/>
          <w:b/>
          <w:color w:val="000000"/>
          <w:sz w:val="22"/>
          <w:szCs w:val="22"/>
        </w:rPr>
      </w:pPr>
      <w:r>
        <w:rPr>
          <w:rFonts w:asciiTheme="minorHAnsi" w:hAnsiTheme="minorHAnsi" w:cs="Arial"/>
          <w:noProof/>
          <w:color w:val="000000"/>
          <w:sz w:val="22"/>
          <w:szCs w:val="22"/>
        </w:rPr>
        <w:lastRenderedPageBreak/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3429635</wp:posOffset>
            </wp:positionH>
            <wp:positionV relativeFrom="paragraph">
              <wp:posOffset>2553970</wp:posOffset>
            </wp:positionV>
            <wp:extent cx="1678940" cy="1424940"/>
            <wp:effectExtent l="19050" t="0" r="0" b="0"/>
            <wp:wrapSquare wrapText="bothSides"/>
            <wp:docPr id="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40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0CA7">
        <w:rPr>
          <w:rFonts w:asciiTheme="minorHAnsi" w:hAnsiTheme="minorHAnsi" w:cs="Arial"/>
          <w:noProof/>
          <w:color w:val="000000"/>
          <w:sz w:val="22"/>
          <w:szCs w:val="22"/>
        </w:rPr>
        <w:drawing>
          <wp:inline distT="0" distB="0" distL="0" distR="0">
            <wp:extent cx="2961656" cy="3871760"/>
            <wp:effectExtent l="19050" t="0" r="0" b="0"/>
            <wp:docPr id="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187" cy="387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ABA" w:rsidRDefault="00ED7576" w:rsidP="00ED7576">
      <w:pPr>
        <w:pStyle w:val="Normlnweb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br w:type="textWrapping" w:clear="all"/>
      </w:r>
    </w:p>
    <w:p w:rsidR="00747ABA" w:rsidRDefault="00747ABA" w:rsidP="00747ABA">
      <w:pPr>
        <w:pStyle w:val="Normlnweb"/>
        <w:spacing w:before="0" w:beforeAutospacing="0" w:after="0" w:afterAutospacing="0"/>
      </w:pPr>
      <w:r>
        <w:rPr>
          <w:rFonts w:ascii="Calibri" w:hAnsi="Calibri"/>
          <w:b/>
          <w:bCs/>
          <w:color w:val="000000"/>
          <w:sz w:val="22"/>
          <w:szCs w:val="22"/>
        </w:rPr>
        <w:t>PŘED PRVNÍM POUŽITÍM</w:t>
      </w:r>
    </w:p>
    <w:p w:rsidR="00747ABA" w:rsidRDefault="00747ABA" w:rsidP="00747ABA">
      <w:pPr>
        <w:pStyle w:val="Normlnweb"/>
        <w:spacing w:before="0" w:beforeAutospacing="0" w:after="0" w:afterAutospacing="0"/>
      </w:pPr>
      <w:r>
        <w:rPr>
          <w:rFonts w:ascii="Calibri" w:hAnsi="Calibri"/>
          <w:color w:val="000000"/>
          <w:sz w:val="22"/>
          <w:szCs w:val="22"/>
        </w:rPr>
        <w:t xml:space="preserve">Zařízení </w:t>
      </w:r>
      <w:proofErr w:type="spellStart"/>
      <w:r>
        <w:rPr>
          <w:rFonts w:ascii="Calibri" w:hAnsi="Calibri"/>
          <w:color w:val="000000"/>
          <w:sz w:val="22"/>
          <w:szCs w:val="22"/>
        </w:rPr>
        <w:t>umistěte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ven na rovný, stabilní a </w:t>
      </w:r>
      <w:proofErr w:type="spellStart"/>
      <w:r>
        <w:rPr>
          <w:rFonts w:ascii="Calibri" w:hAnsi="Calibri"/>
          <w:color w:val="000000"/>
          <w:sz w:val="22"/>
          <w:szCs w:val="22"/>
        </w:rPr>
        <w:t>tepluvzdorný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povrch.</w:t>
      </w:r>
    </w:p>
    <w:p w:rsidR="00747ABA" w:rsidRDefault="00747ABA" w:rsidP="00747ABA">
      <w:pPr>
        <w:pStyle w:val="Normlnweb"/>
        <w:spacing w:before="0" w:beforeAutospacing="0" w:after="0" w:afterAutospacing="0"/>
      </w:pPr>
      <w:r>
        <w:rPr>
          <w:rFonts w:ascii="Calibri" w:hAnsi="Calibri"/>
          <w:color w:val="000000"/>
          <w:sz w:val="22"/>
          <w:szCs w:val="22"/>
        </w:rPr>
        <w:t>Zapojte zařízení do elektřiny a nechte jej alespoň 20 minut vyhřát, aby se vypálil jakýkoliv zbytkový olej či mastnota z výrobního procesu. </w:t>
      </w:r>
    </w:p>
    <w:p w:rsidR="00747ABA" w:rsidRDefault="00747ABA" w:rsidP="00747ABA">
      <w:pPr>
        <w:pStyle w:val="Normlnweb"/>
        <w:spacing w:before="0" w:beforeAutospacing="0" w:after="0" w:afterAutospacing="0"/>
      </w:pPr>
      <w:r>
        <w:rPr>
          <w:rFonts w:ascii="Calibri" w:hAnsi="Calibri"/>
          <w:color w:val="000000"/>
          <w:sz w:val="22"/>
          <w:szCs w:val="22"/>
        </w:rPr>
        <w:t>Při tomto procesu se může objevit malé množství kouře či lehký zápach.</w:t>
      </w:r>
    </w:p>
    <w:p w:rsidR="00747ABA" w:rsidRDefault="00747ABA" w:rsidP="00747ABA">
      <w:pPr>
        <w:pStyle w:val="Normlnweb"/>
        <w:spacing w:before="0" w:beforeAutospacing="0" w:after="0" w:afterAutospacing="0"/>
      </w:pPr>
      <w:r>
        <w:rPr>
          <w:rFonts w:ascii="Calibri" w:hAnsi="Calibri"/>
          <w:color w:val="000000"/>
          <w:sz w:val="22"/>
          <w:szCs w:val="22"/>
        </w:rPr>
        <w:t>To je naprosto normální a kouř/zápach se brzy vytratí.</w:t>
      </w:r>
    </w:p>
    <w:p w:rsidR="00747ABA" w:rsidRDefault="00747ABA" w:rsidP="00747ABA">
      <w:pPr>
        <w:pStyle w:val="Normlnweb"/>
        <w:spacing w:before="0" w:beforeAutospacing="0" w:after="0" w:afterAutospacing="0"/>
      </w:pPr>
      <w:r>
        <w:rPr>
          <w:rFonts w:ascii="Calibri" w:hAnsi="Calibri"/>
          <w:color w:val="000000"/>
          <w:sz w:val="22"/>
          <w:szCs w:val="22"/>
        </w:rPr>
        <w:t>Umyjte zásobník na třísky, odkapávací plech a mříže v teplé saponátové vodě před použitím.</w:t>
      </w:r>
    </w:p>
    <w:p w:rsidR="00747ABA" w:rsidRDefault="00747ABA" w:rsidP="00747ABA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</w:p>
    <w:p w:rsidR="00FB7A0D" w:rsidRDefault="00FB7A0D" w:rsidP="00FB7A0D">
      <w:pPr>
        <w:pStyle w:val="Normlnweb"/>
        <w:spacing w:before="0" w:beforeAutospacing="0" w:after="0" w:afterAutospacing="0"/>
      </w:pPr>
      <w:r>
        <w:rPr>
          <w:rFonts w:ascii="Calibri" w:hAnsi="Calibri"/>
          <w:b/>
          <w:bCs/>
          <w:color w:val="000000"/>
          <w:sz w:val="22"/>
          <w:szCs w:val="22"/>
        </w:rPr>
        <w:t>VHODNÉ DŘEVĚNÉ TŘÍSKY</w:t>
      </w:r>
    </w:p>
    <w:p w:rsidR="00FB7A0D" w:rsidRDefault="00FB7A0D" w:rsidP="00FB7A0D">
      <w:pPr>
        <w:pStyle w:val="Normlnweb"/>
        <w:spacing w:before="0" w:beforeAutospacing="0" w:after="0" w:afterAutospacing="0"/>
      </w:pPr>
      <w:r>
        <w:rPr>
          <w:rFonts w:ascii="Calibri" w:hAnsi="Calibri"/>
          <w:color w:val="000000"/>
          <w:sz w:val="22"/>
          <w:szCs w:val="22"/>
        </w:rPr>
        <w:t>Třísky z většiny ovocných nebo ořechových stromů mohou být k uzení použity. Například vyzkoušejte třísky z jabloní nebo třešní nebo kupte importované třísky z pekanových stromů či bílých ořechů. Nepoužívejte dřevo se smůlou, dává to jídlu nepříjemnou chuť.</w:t>
      </w:r>
    </w:p>
    <w:p w:rsidR="00FB7A0D" w:rsidRDefault="00FB7A0D" w:rsidP="00747ABA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</w:p>
    <w:p w:rsidR="008671A0" w:rsidRDefault="008671A0" w:rsidP="00747ABA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</w:p>
    <w:p w:rsidR="008671A0" w:rsidRDefault="008671A0" w:rsidP="00747ABA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</w:p>
    <w:p w:rsidR="008671A0" w:rsidRDefault="008671A0" w:rsidP="00747ABA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</w:p>
    <w:p w:rsidR="008671A0" w:rsidRDefault="008671A0" w:rsidP="00747ABA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</w:p>
    <w:p w:rsidR="008671A0" w:rsidRDefault="008671A0" w:rsidP="00747ABA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</w:p>
    <w:p w:rsidR="008671A0" w:rsidRDefault="008671A0" w:rsidP="00747ABA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</w:p>
    <w:p w:rsidR="008671A0" w:rsidRDefault="008671A0" w:rsidP="00747ABA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</w:p>
    <w:p w:rsidR="008671A0" w:rsidRDefault="008671A0" w:rsidP="00747ABA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</w:p>
    <w:p w:rsidR="008671A0" w:rsidRDefault="008671A0" w:rsidP="00747ABA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</w:p>
    <w:p w:rsidR="008671A0" w:rsidRDefault="008671A0" w:rsidP="00747ABA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</w:p>
    <w:p w:rsidR="008671A0" w:rsidRDefault="008671A0" w:rsidP="00747ABA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</w:p>
    <w:p w:rsidR="008671A0" w:rsidRDefault="008671A0" w:rsidP="00747ABA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</w:p>
    <w:p w:rsidR="008671A0" w:rsidRDefault="008671A0" w:rsidP="00747ABA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</w:p>
    <w:p w:rsidR="008671A0" w:rsidRDefault="008671A0" w:rsidP="00747ABA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</w:p>
    <w:p w:rsidR="00FB7A0D" w:rsidRDefault="00FB7A0D" w:rsidP="00FB7A0D">
      <w:pPr>
        <w:pStyle w:val="Normlnweb"/>
        <w:spacing w:before="0" w:beforeAutospacing="0" w:after="0" w:afterAutospacing="0"/>
      </w:pPr>
      <w:r>
        <w:rPr>
          <w:rFonts w:ascii="Calibri" w:hAnsi="Calibri"/>
          <w:b/>
          <w:bCs/>
          <w:color w:val="000000"/>
          <w:sz w:val="22"/>
          <w:szCs w:val="22"/>
        </w:rPr>
        <w:lastRenderedPageBreak/>
        <w:t>POUŽITÍ </w:t>
      </w:r>
    </w:p>
    <w:p w:rsidR="00FB7A0D" w:rsidRDefault="00FB7A0D" w:rsidP="00FB7A0D">
      <w:pPr>
        <w:pStyle w:val="Normln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Zařízení </w:t>
      </w:r>
      <w:proofErr w:type="spellStart"/>
      <w:r>
        <w:rPr>
          <w:rFonts w:ascii="Calibri" w:hAnsi="Calibri"/>
          <w:color w:val="000000"/>
          <w:sz w:val="22"/>
          <w:szCs w:val="22"/>
        </w:rPr>
        <w:t>umistěte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ven na rovný, stabilní a </w:t>
      </w:r>
      <w:proofErr w:type="spellStart"/>
      <w:r>
        <w:rPr>
          <w:rFonts w:ascii="Calibri" w:hAnsi="Calibri"/>
          <w:color w:val="000000"/>
          <w:sz w:val="22"/>
          <w:szCs w:val="22"/>
        </w:rPr>
        <w:t>tepluvzdorný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povrch.</w:t>
      </w:r>
    </w:p>
    <w:p w:rsidR="00DF67E4" w:rsidRDefault="00FB7A0D" w:rsidP="00DF67E4">
      <w:pPr>
        <w:pStyle w:val="Normln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V závislosti na rozložení jídla na mřížkách nemusí odkapávací plech zachytit </w:t>
      </w:r>
      <w:r w:rsidR="00DF67E4">
        <w:rPr>
          <w:rFonts w:ascii="Calibri" w:hAnsi="Calibri"/>
          <w:color w:val="000000"/>
          <w:sz w:val="22"/>
          <w:szCs w:val="22"/>
        </w:rPr>
        <w:t xml:space="preserve">všechnu mastnotu a </w:t>
      </w:r>
      <w:proofErr w:type="gramStart"/>
      <w:r w:rsidR="00DF67E4">
        <w:rPr>
          <w:rFonts w:ascii="Calibri" w:hAnsi="Calibri"/>
          <w:color w:val="000000"/>
          <w:sz w:val="22"/>
          <w:szCs w:val="22"/>
        </w:rPr>
        <w:t>šťávu která</w:t>
      </w:r>
      <w:proofErr w:type="gramEnd"/>
      <w:r w:rsidR="00DF67E4">
        <w:rPr>
          <w:rFonts w:ascii="Calibri" w:hAnsi="Calibri"/>
          <w:color w:val="000000"/>
          <w:sz w:val="22"/>
          <w:szCs w:val="22"/>
        </w:rPr>
        <w:t xml:space="preserve"> kape z jídla během uzení. Pro usnadnění čištění dejte vrstvu granulovaného absorbentu pod zařízení pro zachycení jakékoliv mastnoty nebo šťávy z jídel. Absorbent nesmí být hořlavý, </w:t>
      </w:r>
      <w:proofErr w:type="spellStart"/>
      <w:r w:rsidR="00DF67E4">
        <w:rPr>
          <w:rFonts w:ascii="Calibri" w:hAnsi="Calibri"/>
          <w:color w:val="000000"/>
          <w:sz w:val="22"/>
          <w:szCs w:val="22"/>
        </w:rPr>
        <w:t>parfumovaný</w:t>
      </w:r>
      <w:proofErr w:type="spellEnd"/>
      <w:r w:rsidR="00DF67E4">
        <w:rPr>
          <w:rFonts w:ascii="Calibri" w:hAnsi="Calibri"/>
          <w:color w:val="000000"/>
          <w:sz w:val="22"/>
          <w:szCs w:val="22"/>
        </w:rPr>
        <w:t xml:space="preserve"> nebo chemicky ošetřený.</w:t>
      </w:r>
    </w:p>
    <w:p w:rsidR="00DF67E4" w:rsidRDefault="00DF67E4" w:rsidP="00DF67E4">
      <w:pPr>
        <w:pStyle w:val="Normln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Z poloviny naplňte zásobník na třísky (4) vhodnými třískami a zásobník vložte na podpěru nad topným tělesem. Třísky nepokládejte přímo na topné těleso, mohou se vznítit a tak poškodit topné těleso.</w:t>
      </w:r>
    </w:p>
    <w:p w:rsidR="00DF67E4" w:rsidRDefault="00DF67E4" w:rsidP="00DF67E4">
      <w:pPr>
        <w:pStyle w:val="Normln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Odkapávací plech (2) umístěte dospodu udírny.</w:t>
      </w:r>
    </w:p>
    <w:p w:rsidR="00DF67E4" w:rsidRDefault="00DF67E4" w:rsidP="00DF67E4">
      <w:pPr>
        <w:pStyle w:val="Normln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Pokud je to potřeba, natřete mřížky (8) tenkou vrstvou oleje na vaření.</w:t>
      </w:r>
      <w:r>
        <w:rPr>
          <w:rFonts w:ascii="Calibri" w:hAnsi="Calibri"/>
          <w:color w:val="000000"/>
          <w:sz w:val="22"/>
          <w:szCs w:val="22"/>
        </w:rPr>
        <w:br/>
        <w:t>Položte maso nebo ryby na mříže s dostatečným odstupem vzájemně tak, aby mohl kouř proudit kolem jídla v krytu.</w:t>
      </w:r>
      <w:r>
        <w:rPr>
          <w:rFonts w:ascii="Calibri" w:hAnsi="Calibri"/>
          <w:color w:val="000000"/>
          <w:sz w:val="22"/>
          <w:szCs w:val="22"/>
        </w:rPr>
        <w:br/>
        <w:t>Háky</w:t>
      </w:r>
      <w:r w:rsidR="0036463A">
        <w:rPr>
          <w:rFonts w:ascii="Calibri" w:hAnsi="Calibri"/>
          <w:color w:val="000000"/>
          <w:sz w:val="22"/>
          <w:szCs w:val="22"/>
        </w:rPr>
        <w:t xml:space="preserve"> (7)</w:t>
      </w:r>
      <w:r>
        <w:rPr>
          <w:rFonts w:ascii="Calibri" w:hAnsi="Calibri"/>
          <w:color w:val="000000"/>
          <w:sz w:val="22"/>
          <w:szCs w:val="22"/>
        </w:rPr>
        <w:t xml:space="preserve"> zapíchněte do jídla a pověste ho na příčku</w:t>
      </w:r>
      <w:r w:rsidR="0036463A">
        <w:rPr>
          <w:rFonts w:ascii="Calibri" w:hAnsi="Calibri"/>
          <w:color w:val="000000"/>
          <w:sz w:val="22"/>
          <w:szCs w:val="22"/>
        </w:rPr>
        <w:t xml:space="preserve"> (6)</w:t>
      </w:r>
      <w:r>
        <w:rPr>
          <w:rFonts w:ascii="Calibri" w:hAnsi="Calibri"/>
          <w:color w:val="000000"/>
          <w:sz w:val="22"/>
          <w:szCs w:val="22"/>
        </w:rPr>
        <w:t>, kde se bude udit.</w:t>
      </w:r>
    </w:p>
    <w:p w:rsidR="0036463A" w:rsidRDefault="0036463A" w:rsidP="00DF67E4">
      <w:pPr>
        <w:pStyle w:val="Normln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Zapojte zařízení do zásuvky. Tlačítko pro úpravu teploty otočte na pozici MAX a vyčkejte, dokud z udírny nebude vycházet kouř. Poté otevřete dvířka a vložte mřížky. Pokud je to nezbytné, ztlumte teplotu. Pokud chcete, otevřete větrání, aby unikla pára.</w:t>
      </w:r>
    </w:p>
    <w:p w:rsidR="0036463A" w:rsidRDefault="0036463A" w:rsidP="00DF67E4">
      <w:pPr>
        <w:pStyle w:val="Normln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Jídlo můžete udit po požadovanou dobu. Použijte grilovací teploměr k ujištění, že jídlo dosáhne požadované teploty. </w:t>
      </w:r>
      <w:r>
        <w:rPr>
          <w:rFonts w:ascii="Calibri" w:hAnsi="Calibri"/>
          <w:color w:val="000000"/>
          <w:sz w:val="22"/>
          <w:szCs w:val="22"/>
        </w:rPr>
        <w:br/>
        <w:t>Čas uzení závisí na několika faktorech, včetně počasí, okolní teplota, typ a tloušťka jídla a požadovaná teplota jídla.</w:t>
      </w:r>
    </w:p>
    <w:p w:rsidR="0036463A" w:rsidRDefault="0036463A" w:rsidP="00DF67E4">
      <w:pPr>
        <w:pStyle w:val="Normln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Jakmile skončíte s uzením, zařízení odpojte ze zásuvky. Otevřete dvířka a vyjměte mříže s jídlem. Při otevírání dvířek se dotýkejte pouze rukojeti. Použijte ochranné rukavice, abyste se vyvarovali popálení!</w:t>
      </w:r>
    </w:p>
    <w:p w:rsidR="0036463A" w:rsidRDefault="0036463A" w:rsidP="0036463A">
      <w:pPr>
        <w:pStyle w:val="Normlnweb"/>
        <w:spacing w:before="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</w:rPr>
      </w:pPr>
    </w:p>
    <w:p w:rsidR="0036463A" w:rsidRPr="0036463A" w:rsidRDefault="0036463A" w:rsidP="00364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463A">
        <w:rPr>
          <w:rFonts w:ascii="Calibri" w:eastAsia="Times New Roman" w:hAnsi="Calibri" w:cs="Times New Roman"/>
          <w:b/>
          <w:bCs/>
          <w:color w:val="000000"/>
          <w:lang w:eastAsia="cs-CZ"/>
        </w:rPr>
        <w:t>ČIŠTĚNÍ</w:t>
      </w:r>
    </w:p>
    <w:p w:rsidR="0036463A" w:rsidRPr="0036463A" w:rsidRDefault="0036463A" w:rsidP="0036463A">
      <w:pPr>
        <w:numPr>
          <w:ilvl w:val="0"/>
          <w:numId w:val="6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lang w:eastAsia="cs-CZ"/>
        </w:rPr>
      </w:pPr>
      <w:r w:rsidRPr="0036463A">
        <w:rPr>
          <w:rFonts w:ascii="Calibri" w:eastAsia="Times New Roman" w:hAnsi="Calibri" w:cs="Times New Roman"/>
          <w:color w:val="000000"/>
          <w:lang w:eastAsia="cs-CZ"/>
        </w:rPr>
        <w:t>Zařízení odpojte ze zásuvky.</w:t>
      </w:r>
    </w:p>
    <w:p w:rsidR="0036463A" w:rsidRPr="0036463A" w:rsidRDefault="0036463A" w:rsidP="0036463A">
      <w:pPr>
        <w:numPr>
          <w:ilvl w:val="0"/>
          <w:numId w:val="6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lang w:eastAsia="cs-CZ"/>
        </w:rPr>
      </w:pPr>
      <w:r w:rsidRPr="0036463A">
        <w:rPr>
          <w:rFonts w:ascii="Calibri" w:eastAsia="Times New Roman" w:hAnsi="Calibri" w:cs="Times New Roman"/>
          <w:color w:val="000000"/>
          <w:lang w:eastAsia="cs-CZ"/>
        </w:rPr>
        <w:t>Nechte zařízení vychladnout na zhruba 30-40° C před čištěním.</w:t>
      </w:r>
    </w:p>
    <w:p w:rsidR="0036463A" w:rsidRPr="0036463A" w:rsidRDefault="0036463A" w:rsidP="0036463A">
      <w:pPr>
        <w:numPr>
          <w:ilvl w:val="0"/>
          <w:numId w:val="6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lang w:eastAsia="cs-CZ"/>
        </w:rPr>
      </w:pPr>
      <w:r w:rsidRPr="0036463A">
        <w:rPr>
          <w:rFonts w:ascii="Calibri" w:eastAsia="Times New Roman" w:hAnsi="Calibri" w:cs="Times New Roman"/>
          <w:color w:val="000000"/>
          <w:lang w:eastAsia="cs-CZ"/>
        </w:rPr>
        <w:t>Mříže a odkapávací plech umyjte v teplé vodě s trochou mycího prostředku.</w:t>
      </w:r>
      <w:r w:rsidRPr="0036463A">
        <w:rPr>
          <w:rFonts w:ascii="Calibri" w:eastAsia="Times New Roman" w:hAnsi="Calibri" w:cs="Times New Roman"/>
          <w:color w:val="000000"/>
          <w:lang w:eastAsia="cs-CZ"/>
        </w:rPr>
        <w:br/>
        <w:t>Komponenty vysušte. Pokud je to potřeba, použije kartáč k odstranění hrubých nečistot. Nepoužívejte drátěné kartáče, které by mohly poškodit ochrannou vrstvu na mřížích. </w:t>
      </w:r>
    </w:p>
    <w:p w:rsidR="0036463A" w:rsidRPr="0036463A" w:rsidRDefault="0036463A" w:rsidP="0036463A">
      <w:pPr>
        <w:numPr>
          <w:ilvl w:val="0"/>
          <w:numId w:val="6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lang w:eastAsia="cs-CZ"/>
        </w:rPr>
      </w:pPr>
      <w:r w:rsidRPr="0036463A">
        <w:rPr>
          <w:rFonts w:ascii="Calibri" w:eastAsia="Times New Roman" w:hAnsi="Calibri" w:cs="Times New Roman"/>
          <w:color w:val="000000"/>
          <w:lang w:eastAsia="cs-CZ"/>
        </w:rPr>
        <w:t xml:space="preserve">Ze zásobníku na dřevo odstraňte </w:t>
      </w:r>
      <w:proofErr w:type="gramStart"/>
      <w:r w:rsidRPr="0036463A">
        <w:rPr>
          <w:rFonts w:ascii="Calibri" w:eastAsia="Times New Roman" w:hAnsi="Calibri" w:cs="Times New Roman"/>
          <w:color w:val="000000"/>
          <w:lang w:eastAsia="cs-CZ"/>
        </w:rPr>
        <w:t>popel pokud</w:t>
      </w:r>
      <w:proofErr w:type="gramEnd"/>
      <w:r w:rsidRPr="0036463A">
        <w:rPr>
          <w:rFonts w:ascii="Calibri" w:eastAsia="Times New Roman" w:hAnsi="Calibri" w:cs="Times New Roman"/>
          <w:color w:val="000000"/>
          <w:lang w:eastAsia="cs-CZ"/>
        </w:rPr>
        <w:t xml:space="preserve"> již není žhavý.</w:t>
      </w:r>
    </w:p>
    <w:p w:rsidR="0036463A" w:rsidRPr="0036463A" w:rsidRDefault="0036463A" w:rsidP="0036463A">
      <w:pPr>
        <w:numPr>
          <w:ilvl w:val="0"/>
          <w:numId w:val="6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lang w:eastAsia="cs-CZ"/>
        </w:rPr>
      </w:pPr>
      <w:r w:rsidRPr="0036463A">
        <w:rPr>
          <w:rFonts w:ascii="Calibri" w:eastAsia="Times New Roman" w:hAnsi="Calibri" w:cs="Times New Roman"/>
          <w:color w:val="000000"/>
          <w:lang w:eastAsia="cs-CZ"/>
        </w:rPr>
        <w:t>Vytřete dobře vyždímanou utěrkou.</w:t>
      </w:r>
    </w:p>
    <w:p w:rsidR="0036463A" w:rsidRPr="0036463A" w:rsidRDefault="0036463A" w:rsidP="0036463A">
      <w:pPr>
        <w:numPr>
          <w:ilvl w:val="0"/>
          <w:numId w:val="6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lang w:eastAsia="cs-CZ"/>
        </w:rPr>
      </w:pPr>
      <w:r w:rsidRPr="0036463A">
        <w:rPr>
          <w:rFonts w:ascii="Calibri" w:eastAsia="Times New Roman" w:hAnsi="Calibri" w:cs="Times New Roman"/>
          <w:color w:val="000000"/>
          <w:lang w:eastAsia="cs-CZ"/>
        </w:rPr>
        <w:t>Zařízení skladujte uvnitř, na suchém místě. Prosím mějte na paměti, že ze zařízení během uskladnění může vycházet kouřový zápach. Z tohoto důvodu by zařízení nemělo být uskladněno vedle věcí, které mohou zápach absorbovat. </w:t>
      </w:r>
    </w:p>
    <w:p w:rsidR="0036463A" w:rsidRPr="0036463A" w:rsidRDefault="0036463A" w:rsidP="00364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463A" w:rsidRDefault="0036463A" w:rsidP="0036463A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</w:p>
    <w:p w:rsidR="0036463A" w:rsidRDefault="0036463A" w:rsidP="0036463A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</w:p>
    <w:p w:rsidR="0036463A" w:rsidRDefault="0036463A" w:rsidP="0036463A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</w:p>
    <w:p w:rsidR="008671A0" w:rsidRDefault="008671A0" w:rsidP="0036463A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</w:p>
    <w:p w:rsidR="008671A0" w:rsidRDefault="008671A0" w:rsidP="0036463A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</w:p>
    <w:p w:rsidR="008671A0" w:rsidRDefault="008671A0" w:rsidP="0036463A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</w:p>
    <w:p w:rsidR="008671A0" w:rsidRDefault="008671A0" w:rsidP="0036463A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</w:p>
    <w:p w:rsidR="008671A0" w:rsidRDefault="008671A0" w:rsidP="0036463A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</w:p>
    <w:p w:rsidR="008671A0" w:rsidRDefault="008671A0" w:rsidP="0036463A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</w:p>
    <w:p w:rsidR="008671A0" w:rsidRDefault="008671A0" w:rsidP="0036463A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</w:p>
    <w:p w:rsidR="008671A0" w:rsidRDefault="008671A0" w:rsidP="0036463A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</w:p>
    <w:p w:rsidR="008671A0" w:rsidRDefault="008671A0" w:rsidP="0036463A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</w:p>
    <w:p w:rsidR="008671A0" w:rsidRDefault="008671A0" w:rsidP="0036463A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</w:p>
    <w:p w:rsidR="008671A0" w:rsidRDefault="008671A0" w:rsidP="0036463A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</w:p>
    <w:p w:rsidR="008671A0" w:rsidRDefault="008671A0" w:rsidP="0036463A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</w:p>
    <w:p w:rsidR="008671A0" w:rsidRDefault="008671A0" w:rsidP="0036463A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</w:p>
    <w:p w:rsidR="008671A0" w:rsidRDefault="008671A0" w:rsidP="0036463A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</w:p>
    <w:p w:rsidR="0036463A" w:rsidRDefault="0036463A" w:rsidP="0036463A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cs-CZ"/>
        </w:rPr>
      </w:pPr>
    </w:p>
    <w:p w:rsidR="0036463A" w:rsidRPr="0036463A" w:rsidRDefault="0036463A" w:rsidP="00364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463A">
        <w:rPr>
          <w:rFonts w:ascii="Calibri" w:eastAsia="Times New Roman" w:hAnsi="Calibri" w:cs="Times New Roman"/>
          <w:b/>
          <w:bCs/>
          <w:color w:val="000000"/>
          <w:lang w:eastAsia="cs-CZ"/>
        </w:rPr>
        <w:t>INFORMACE K LIKVIDACI A RECYKLACI TOHOTO PRODUKTU</w:t>
      </w:r>
    </w:p>
    <w:p w:rsidR="0036463A" w:rsidRPr="0036463A" w:rsidRDefault="0036463A" w:rsidP="00364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463A">
        <w:rPr>
          <w:rFonts w:ascii="Calibri" w:eastAsia="Times New Roman" w:hAnsi="Calibri" w:cs="Times New Roman"/>
          <w:color w:val="000000"/>
          <w:lang w:eastAsia="cs-CZ"/>
        </w:rPr>
        <w:t xml:space="preserve">Prosím mějte na paměti, že tento produkt </w:t>
      </w:r>
      <w:proofErr w:type="spellStart"/>
      <w:r w:rsidRPr="0036463A">
        <w:rPr>
          <w:rFonts w:ascii="Calibri" w:eastAsia="Times New Roman" w:hAnsi="Calibri" w:cs="Times New Roman"/>
          <w:color w:val="000000"/>
          <w:lang w:eastAsia="cs-CZ"/>
        </w:rPr>
        <w:t>Adexi</w:t>
      </w:r>
      <w:proofErr w:type="spellEnd"/>
      <w:r w:rsidRPr="0036463A">
        <w:rPr>
          <w:rFonts w:ascii="Calibri" w:eastAsia="Times New Roman" w:hAnsi="Calibri" w:cs="Times New Roman"/>
          <w:color w:val="000000"/>
          <w:lang w:eastAsia="cs-CZ"/>
        </w:rPr>
        <w:t xml:space="preserve"> je značený tímto symbolem: </w:t>
      </w:r>
      <w:r>
        <w:rPr>
          <w:rFonts w:ascii="Calibri" w:eastAsia="Times New Roman" w:hAnsi="Calibri" w:cs="Times New Roman"/>
          <w:noProof/>
          <w:color w:val="000000"/>
          <w:lang w:eastAsia="cs-CZ"/>
        </w:rPr>
        <w:drawing>
          <wp:inline distT="0" distB="0" distL="0" distR="0">
            <wp:extent cx="356235" cy="439420"/>
            <wp:effectExtent l="19050" t="0" r="5715" b="0"/>
            <wp:docPr id="10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43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63A" w:rsidRPr="0036463A" w:rsidRDefault="0036463A" w:rsidP="00364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463A">
        <w:rPr>
          <w:rFonts w:ascii="Calibri" w:eastAsia="Times New Roman" w:hAnsi="Calibri" w:cs="Times New Roman"/>
          <w:color w:val="000000"/>
          <w:lang w:eastAsia="cs-CZ"/>
        </w:rPr>
        <w:t>To znamená, že tento produkt nesmí být likvidován spolu s obyčejným odpadem z domácnosti, vzhledem k nutnosti separátní likvidace elektrických a elektronických zařízení. </w:t>
      </w:r>
    </w:p>
    <w:p w:rsidR="0036463A" w:rsidRPr="0036463A" w:rsidRDefault="0036463A" w:rsidP="00364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463A" w:rsidRPr="0036463A" w:rsidRDefault="0036463A" w:rsidP="00364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463A">
        <w:rPr>
          <w:rFonts w:ascii="Calibri" w:eastAsia="Times New Roman" w:hAnsi="Calibri" w:cs="Times New Roman"/>
          <w:color w:val="000000"/>
          <w:lang w:eastAsia="cs-CZ"/>
        </w:rPr>
        <w:t>Podle směrnice WEEE každý členský stát musí zajistit správnost sběru, využití, manipulace a recyklace elektrických a elektronických zařízení. Soukromé domácnosti v EU mohou odevzdat použité zařízení ke zvláštní recyklaci do sběrného dvora. </w:t>
      </w:r>
    </w:p>
    <w:p w:rsidR="0036463A" w:rsidRPr="0036463A" w:rsidRDefault="0036463A" w:rsidP="00364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463A" w:rsidRPr="0036463A" w:rsidRDefault="0036463A" w:rsidP="00364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463A">
        <w:rPr>
          <w:rFonts w:ascii="Calibri" w:eastAsia="Times New Roman" w:hAnsi="Calibri" w:cs="Times New Roman"/>
          <w:color w:val="000000"/>
          <w:lang w:eastAsia="cs-CZ"/>
        </w:rPr>
        <w:t>V některých členských státech můžete v některých případech vrátit použité zařízení prodejci, od kterého jste jej zakoupili, pokud kupujete nové zařízení (forma výměny).</w:t>
      </w:r>
    </w:p>
    <w:p w:rsidR="0036463A" w:rsidRPr="0036463A" w:rsidRDefault="0036463A" w:rsidP="00364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463A">
        <w:rPr>
          <w:rFonts w:ascii="Calibri" w:eastAsia="Times New Roman" w:hAnsi="Calibri" w:cs="Times New Roman"/>
          <w:color w:val="000000"/>
          <w:lang w:eastAsia="cs-CZ"/>
        </w:rPr>
        <w:t>Kontaktujte svého prodejce, distributora nebo obecní úřady pro další informace o tom, co dělat s elektrickými a elektronickými zařízeními.</w:t>
      </w:r>
    </w:p>
    <w:p w:rsidR="0036463A" w:rsidRPr="0036463A" w:rsidRDefault="0036463A" w:rsidP="00364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463A" w:rsidRPr="0036463A" w:rsidRDefault="0036463A" w:rsidP="00364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463A">
        <w:rPr>
          <w:rFonts w:ascii="Calibri" w:eastAsia="Times New Roman" w:hAnsi="Calibri" w:cs="Times New Roman"/>
          <w:b/>
          <w:bCs/>
          <w:color w:val="000000"/>
          <w:lang w:eastAsia="cs-CZ"/>
        </w:rPr>
        <w:t>PODMÍNKY ZÁRUKY</w:t>
      </w:r>
    </w:p>
    <w:p w:rsidR="0036463A" w:rsidRPr="0036463A" w:rsidRDefault="0036463A" w:rsidP="00364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463A">
        <w:rPr>
          <w:rFonts w:ascii="Calibri" w:eastAsia="Times New Roman" w:hAnsi="Calibri" w:cs="Times New Roman"/>
          <w:color w:val="000000"/>
          <w:lang w:eastAsia="cs-CZ"/>
        </w:rPr>
        <w:t>Záruka zaniká pokud:</w:t>
      </w:r>
    </w:p>
    <w:p w:rsidR="0036463A" w:rsidRPr="0036463A" w:rsidRDefault="0036463A" w:rsidP="0036463A">
      <w:pPr>
        <w:numPr>
          <w:ilvl w:val="0"/>
          <w:numId w:val="7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lang w:eastAsia="cs-CZ"/>
        </w:rPr>
      </w:pPr>
      <w:r w:rsidRPr="0036463A">
        <w:rPr>
          <w:rFonts w:ascii="Calibri" w:eastAsia="Times New Roman" w:hAnsi="Calibri" w:cs="Times New Roman"/>
          <w:color w:val="000000"/>
          <w:lang w:eastAsia="cs-CZ"/>
        </w:rPr>
        <w:t>nebyly dodržené instrukce k použití uvedené výše</w:t>
      </w:r>
    </w:p>
    <w:p w:rsidR="0036463A" w:rsidRPr="0036463A" w:rsidRDefault="0036463A" w:rsidP="0036463A">
      <w:pPr>
        <w:numPr>
          <w:ilvl w:val="0"/>
          <w:numId w:val="7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lang w:eastAsia="cs-CZ"/>
        </w:rPr>
      </w:pPr>
      <w:r w:rsidRPr="0036463A">
        <w:rPr>
          <w:rFonts w:ascii="Calibri" w:eastAsia="Times New Roman" w:hAnsi="Calibri" w:cs="Times New Roman"/>
          <w:color w:val="000000"/>
          <w:lang w:eastAsia="cs-CZ"/>
        </w:rPr>
        <w:t>do zařízení bylo jakkoliv zasahováno</w:t>
      </w:r>
    </w:p>
    <w:p w:rsidR="0036463A" w:rsidRPr="0036463A" w:rsidRDefault="0036463A" w:rsidP="0036463A">
      <w:pPr>
        <w:numPr>
          <w:ilvl w:val="0"/>
          <w:numId w:val="7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lang w:eastAsia="cs-CZ"/>
        </w:rPr>
      </w:pPr>
      <w:r w:rsidRPr="0036463A">
        <w:rPr>
          <w:rFonts w:ascii="Calibri" w:eastAsia="Times New Roman" w:hAnsi="Calibri" w:cs="Times New Roman"/>
          <w:color w:val="000000"/>
          <w:lang w:eastAsia="cs-CZ"/>
        </w:rPr>
        <w:t>zařízení spadlo, bylo s ním hrubě zacházeno či utrpělo jinou škodu</w:t>
      </w:r>
    </w:p>
    <w:p w:rsidR="0036463A" w:rsidRPr="0036463A" w:rsidRDefault="0036463A" w:rsidP="0036463A">
      <w:pPr>
        <w:numPr>
          <w:ilvl w:val="0"/>
          <w:numId w:val="7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lang w:eastAsia="cs-CZ"/>
        </w:rPr>
      </w:pPr>
      <w:r w:rsidRPr="0036463A">
        <w:rPr>
          <w:rFonts w:ascii="Calibri" w:eastAsia="Times New Roman" w:hAnsi="Calibri" w:cs="Times New Roman"/>
          <w:color w:val="000000"/>
          <w:lang w:eastAsia="cs-CZ"/>
        </w:rPr>
        <w:t>pokud je zařízení poruchové kvůli poruchám v elektrickém obvodu</w:t>
      </w:r>
    </w:p>
    <w:p w:rsidR="0036463A" w:rsidRPr="0036463A" w:rsidRDefault="0036463A" w:rsidP="00364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463A">
        <w:rPr>
          <w:rFonts w:ascii="Calibri" w:eastAsia="Times New Roman" w:hAnsi="Calibri" w:cs="Times New Roman"/>
          <w:color w:val="000000"/>
          <w:lang w:eastAsia="cs-CZ"/>
        </w:rPr>
        <w:t>Vzhledem k neustálému vývoji našich výrobků z hlediska funkce a designu, vyhrazujeme si právo na změny produktu bez předchozího upozornění.</w:t>
      </w:r>
    </w:p>
    <w:p w:rsidR="0036463A" w:rsidRPr="0036463A" w:rsidRDefault="0036463A" w:rsidP="00364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463A" w:rsidRPr="0036463A" w:rsidRDefault="0036463A" w:rsidP="00364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463A">
        <w:rPr>
          <w:rFonts w:ascii="Calibri" w:eastAsia="Times New Roman" w:hAnsi="Calibri" w:cs="Times New Roman"/>
          <w:b/>
          <w:bCs/>
          <w:color w:val="000000"/>
          <w:lang w:eastAsia="cs-CZ"/>
        </w:rPr>
        <w:t>ČASTO KLADENÉ OTÁZKY (FAQ)</w:t>
      </w:r>
    </w:p>
    <w:p w:rsidR="0036463A" w:rsidRPr="0036463A" w:rsidRDefault="0036463A" w:rsidP="00364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463A">
        <w:rPr>
          <w:rFonts w:ascii="Calibri" w:eastAsia="Times New Roman" w:hAnsi="Calibri" w:cs="Times New Roman"/>
          <w:color w:val="000000"/>
          <w:lang w:eastAsia="cs-CZ"/>
        </w:rPr>
        <w:t>Pokud máte nějaké dotazy týkající se používání spotřebiče a nemůžete najít odpověď v této uživatelské příručce, zkuste naše webové stránky na adrese www.adexi.eu.</w:t>
      </w:r>
    </w:p>
    <w:p w:rsidR="0036463A" w:rsidRPr="0036463A" w:rsidRDefault="0036463A" w:rsidP="00364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463A" w:rsidRPr="0036463A" w:rsidRDefault="0036463A" w:rsidP="00364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463A">
        <w:rPr>
          <w:rFonts w:ascii="Calibri" w:eastAsia="Times New Roman" w:hAnsi="Calibri" w:cs="Times New Roman"/>
          <w:color w:val="000000"/>
          <w:lang w:eastAsia="cs-CZ"/>
        </w:rPr>
        <w:t>Na naší webové stránce můžete také najít kontakt, pokud nás potřebujete kontaktovat ohledně technických dotazů, oprav, příslušenství nebo náhradních dílů</w:t>
      </w:r>
    </w:p>
    <w:p w:rsidR="0036463A" w:rsidRPr="0036463A" w:rsidRDefault="0036463A" w:rsidP="00364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463A" w:rsidRPr="0036463A" w:rsidRDefault="0036463A" w:rsidP="00364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463A">
        <w:rPr>
          <w:rFonts w:ascii="Calibri" w:eastAsia="Times New Roman" w:hAnsi="Calibri" w:cs="Times New Roman"/>
          <w:b/>
          <w:bCs/>
          <w:color w:val="000000"/>
          <w:lang w:eastAsia="cs-CZ"/>
        </w:rPr>
        <w:t>DOVOZCE</w:t>
      </w:r>
    </w:p>
    <w:p w:rsidR="0036463A" w:rsidRPr="0036463A" w:rsidRDefault="0036463A" w:rsidP="00364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6463A">
        <w:rPr>
          <w:rFonts w:ascii="Calibri" w:eastAsia="Times New Roman" w:hAnsi="Calibri" w:cs="Times New Roman"/>
          <w:color w:val="000000"/>
          <w:lang w:eastAsia="cs-CZ"/>
        </w:rPr>
        <w:t>Adexi</w:t>
      </w:r>
      <w:proofErr w:type="spellEnd"/>
      <w:r w:rsidRPr="0036463A">
        <w:rPr>
          <w:rFonts w:ascii="Calibri" w:eastAsia="Times New Roman" w:hAnsi="Calibri" w:cs="Times New Roman"/>
          <w:color w:val="000000"/>
          <w:lang w:eastAsia="cs-CZ"/>
        </w:rPr>
        <w:t xml:space="preserve"> A/S</w:t>
      </w:r>
    </w:p>
    <w:p w:rsidR="0036463A" w:rsidRPr="0036463A" w:rsidRDefault="0036463A" w:rsidP="00364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6463A">
        <w:rPr>
          <w:rFonts w:ascii="Calibri" w:eastAsia="Times New Roman" w:hAnsi="Calibri" w:cs="Times New Roman"/>
          <w:color w:val="000000"/>
          <w:lang w:eastAsia="cs-CZ"/>
        </w:rPr>
        <w:t>Grenåvej</w:t>
      </w:r>
      <w:proofErr w:type="spellEnd"/>
      <w:r w:rsidRPr="0036463A">
        <w:rPr>
          <w:rFonts w:ascii="Calibri" w:eastAsia="Times New Roman" w:hAnsi="Calibri" w:cs="Times New Roman"/>
          <w:color w:val="000000"/>
          <w:lang w:eastAsia="cs-CZ"/>
        </w:rPr>
        <w:t xml:space="preserve"> 635A</w:t>
      </w:r>
    </w:p>
    <w:p w:rsidR="0036463A" w:rsidRPr="0036463A" w:rsidRDefault="0036463A" w:rsidP="00364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463A">
        <w:rPr>
          <w:rFonts w:ascii="Calibri" w:eastAsia="Times New Roman" w:hAnsi="Calibri" w:cs="Times New Roman"/>
          <w:color w:val="000000"/>
          <w:lang w:eastAsia="cs-CZ"/>
        </w:rPr>
        <w:t xml:space="preserve">DK-8541 </w:t>
      </w:r>
      <w:proofErr w:type="spellStart"/>
      <w:r w:rsidRPr="0036463A">
        <w:rPr>
          <w:rFonts w:ascii="Calibri" w:eastAsia="Times New Roman" w:hAnsi="Calibri" w:cs="Times New Roman"/>
          <w:color w:val="000000"/>
          <w:lang w:eastAsia="cs-CZ"/>
        </w:rPr>
        <w:t>Skødstrup</w:t>
      </w:r>
      <w:proofErr w:type="spellEnd"/>
    </w:p>
    <w:p w:rsidR="0036463A" w:rsidRPr="0036463A" w:rsidRDefault="0036463A" w:rsidP="00364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6463A">
        <w:rPr>
          <w:rFonts w:ascii="Calibri" w:eastAsia="Times New Roman" w:hAnsi="Calibri" w:cs="Times New Roman"/>
          <w:color w:val="000000"/>
          <w:lang w:eastAsia="cs-CZ"/>
        </w:rPr>
        <w:t>Denmark</w:t>
      </w:r>
      <w:proofErr w:type="spellEnd"/>
    </w:p>
    <w:p w:rsidR="0036463A" w:rsidRPr="0036463A" w:rsidRDefault="0036463A" w:rsidP="00364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463A">
        <w:rPr>
          <w:rFonts w:ascii="Calibri" w:eastAsia="Times New Roman" w:hAnsi="Calibri" w:cs="Times New Roman"/>
          <w:color w:val="000000"/>
          <w:lang w:eastAsia="cs-CZ"/>
        </w:rPr>
        <w:t>www.adexi.eu</w:t>
      </w:r>
    </w:p>
    <w:p w:rsidR="0036463A" w:rsidRPr="0036463A" w:rsidRDefault="0036463A" w:rsidP="00364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6463A">
        <w:rPr>
          <w:rFonts w:ascii="Calibri" w:eastAsia="Times New Roman" w:hAnsi="Calibri" w:cs="Times New Roman"/>
          <w:color w:val="000000"/>
          <w:lang w:eastAsia="cs-CZ"/>
        </w:rPr>
        <w:t>Nejsme zodpovědní za případné tiskové chyby</w:t>
      </w:r>
    </w:p>
    <w:p w:rsidR="0036463A" w:rsidRPr="00DF67E4" w:rsidRDefault="0036463A" w:rsidP="0036463A">
      <w:pPr>
        <w:pStyle w:val="Normlnweb"/>
        <w:spacing w:before="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</w:rPr>
      </w:pPr>
    </w:p>
    <w:p w:rsidR="008F528C" w:rsidRPr="00747ABA" w:rsidRDefault="008F528C"/>
    <w:sectPr w:rsidR="008F528C" w:rsidRPr="00747ABA" w:rsidSect="008F52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75CF5"/>
    <w:multiLevelType w:val="hybridMultilevel"/>
    <w:tmpl w:val="F1FCF6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721C7"/>
    <w:multiLevelType w:val="multilevel"/>
    <w:tmpl w:val="0D7A7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DD5FB1"/>
    <w:multiLevelType w:val="multilevel"/>
    <w:tmpl w:val="CCD82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A2A26"/>
    <w:multiLevelType w:val="multilevel"/>
    <w:tmpl w:val="6AC0C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904C66"/>
    <w:multiLevelType w:val="multilevel"/>
    <w:tmpl w:val="528AD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E71FC6"/>
    <w:multiLevelType w:val="multilevel"/>
    <w:tmpl w:val="3058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CA0C07"/>
    <w:multiLevelType w:val="multilevel"/>
    <w:tmpl w:val="F88A8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94F9B"/>
    <w:rsid w:val="00094F9B"/>
    <w:rsid w:val="0036463A"/>
    <w:rsid w:val="005C0CA7"/>
    <w:rsid w:val="0069200D"/>
    <w:rsid w:val="006A69A5"/>
    <w:rsid w:val="00747ABA"/>
    <w:rsid w:val="008671A0"/>
    <w:rsid w:val="008F528C"/>
    <w:rsid w:val="00CB5982"/>
    <w:rsid w:val="00CD0733"/>
    <w:rsid w:val="00DF67E4"/>
    <w:rsid w:val="00ED7576"/>
    <w:rsid w:val="00FB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C3F3CF-E56D-4020-8671-7819B8B92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528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94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7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7576"/>
    <w:rPr>
      <w:rFonts w:ascii="Tahoma" w:hAnsi="Tahoma" w:cs="Tahoma"/>
      <w:sz w:val="16"/>
      <w:szCs w:val="16"/>
    </w:rPr>
  </w:style>
  <w:style w:type="paragraph" w:customStyle="1" w:styleId="Styl2">
    <w:name w:val="Styl2"/>
    <w:basedOn w:val="Normln"/>
    <w:rsid w:val="0069200D"/>
    <w:pPr>
      <w:shd w:val="clear" w:color="auto" w:fill="000000"/>
      <w:spacing w:before="60" w:after="60" w:line="240" w:lineRule="auto"/>
      <w:jc w:val="center"/>
    </w:pPr>
    <w:rPr>
      <w:rFonts w:ascii="Tahoma" w:eastAsia="Times New Roman" w:hAnsi="Tahoma" w:cs="Times New Roman"/>
      <w:b/>
      <w:cap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1407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Sindy Schrehardt DTC</dc:creator>
  <cp:lastModifiedBy>Zdenek Švestka</cp:lastModifiedBy>
  <cp:revision>9</cp:revision>
  <dcterms:created xsi:type="dcterms:W3CDTF">2020-02-19T00:34:00Z</dcterms:created>
  <dcterms:modified xsi:type="dcterms:W3CDTF">2020-02-21T07:13:00Z</dcterms:modified>
</cp:coreProperties>
</file>