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CDF" w:rsidRPr="00534CDF" w:rsidRDefault="00BD0385">
      <w:pPr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2662555</wp:posOffset>
            </wp:positionH>
            <wp:positionV relativeFrom="paragraph">
              <wp:posOffset>0</wp:posOffset>
            </wp:positionV>
            <wp:extent cx="3441032" cy="4581525"/>
            <wp:effectExtent l="0" t="0" r="7620" b="0"/>
            <wp:wrapTight wrapText="bothSides">
              <wp:wrapPolygon edited="0">
                <wp:start x="0" y="0"/>
                <wp:lineTo x="0" y="21465"/>
                <wp:lineTo x="21528" y="21465"/>
                <wp:lineTo x="2152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32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4CDF" w:rsidRPr="00534CDF">
        <w:rPr>
          <w:b/>
        </w:rPr>
        <w:t>FR 2430 Horkovzdušná fritéza</w:t>
      </w:r>
    </w:p>
    <w:p w:rsidR="007151B1" w:rsidRDefault="007151B1"/>
    <w:p w:rsidR="00534CDF" w:rsidRPr="00BD0385" w:rsidRDefault="007151B1" w:rsidP="00534CDF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br/>
      </w:r>
      <w:r w:rsidR="00534CDF" w:rsidRPr="00BD0385">
        <w:rPr>
          <w:rFonts w:eastAsia="MyriadPro-Regular"/>
          <w:sz w:val="16"/>
          <w:szCs w:val="16"/>
        </w:rPr>
        <w:t>Milá zákaznice, milý zákazníku,</w:t>
      </w:r>
    </w:p>
    <w:p w:rsidR="00534CDF" w:rsidRPr="00BD0385" w:rsidRDefault="00534CDF" w:rsidP="00534CDF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dovolujeme si Vám popřát mnoho zábavy s kvalitním produktem naší firmy SEVERIN a zároveň poděkovat za Vaši důvěru v něj.</w:t>
      </w:r>
    </w:p>
    <w:p w:rsidR="00BD0385" w:rsidRDefault="00BD0385" w:rsidP="00534CDF">
      <w:pPr>
        <w:autoSpaceDE w:val="0"/>
        <w:autoSpaceDN w:val="0"/>
        <w:adjustRightInd w:val="0"/>
        <w:rPr>
          <w:rFonts w:eastAsia="MyriadPro-Regular"/>
          <w:b/>
          <w:sz w:val="16"/>
          <w:szCs w:val="16"/>
        </w:rPr>
      </w:pPr>
      <w:r w:rsidRPr="00BD0385">
        <w:rPr>
          <w:rFonts w:eastAsia="MyriadPro-Regular"/>
          <w:b/>
          <w:sz w:val="16"/>
          <w:szCs w:val="16"/>
        </w:rPr>
        <w:t>Návod</w:t>
      </w:r>
      <w:r w:rsidR="00534CDF" w:rsidRPr="00BD0385">
        <w:rPr>
          <w:rFonts w:eastAsia="MyriadPro-Regular"/>
          <w:b/>
          <w:sz w:val="16"/>
          <w:szCs w:val="16"/>
        </w:rPr>
        <w:t xml:space="preserve"> k</w:t>
      </w:r>
      <w:r>
        <w:rPr>
          <w:rFonts w:eastAsia="MyriadPro-Regular"/>
          <w:b/>
          <w:sz w:val="16"/>
          <w:szCs w:val="16"/>
        </w:rPr>
        <w:t> </w:t>
      </w:r>
      <w:r w:rsidR="00534CDF" w:rsidRPr="00BD0385">
        <w:rPr>
          <w:rFonts w:eastAsia="MyriadPro-Regular"/>
          <w:b/>
          <w:sz w:val="16"/>
          <w:szCs w:val="16"/>
        </w:rPr>
        <w:t>obsluze</w:t>
      </w:r>
    </w:p>
    <w:p w:rsidR="00534CDF" w:rsidRPr="00BD0385" w:rsidRDefault="00534CDF" w:rsidP="00534CDF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Před použitím výrobku si prosím pečlivě pročtěte tento návod a ponechejte si jej pro případ pozdější potřeby. Když bude výrobek používat někdo jiný, předejte mu návod rovněž k přečtení. Nedodržování pokynů, informací a upozornění v tomto návodu může vést k vážným zraněním nebo škodám na výrobku. Důležitá upozornění, týkající se Vaší bezpečnosti, jsou zvýrazněna v této kapitole. Všechna upozornění poctivě dodržujte, abyste zabránili nehodám a poškození výrobku. </w:t>
      </w:r>
    </w:p>
    <w:p w:rsidR="00534CDF" w:rsidRPr="00065D83" w:rsidRDefault="00534CDF" w:rsidP="00534CDF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065D83">
        <w:rPr>
          <w:rFonts w:eastAsia="MyriadPro-Regular"/>
          <w:noProof/>
          <w:sz w:val="16"/>
          <w:szCs w:val="16"/>
        </w:rPr>
        <w:drawing>
          <wp:inline distT="0" distB="0" distL="0" distR="0">
            <wp:extent cx="219075" cy="2095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83">
        <w:rPr>
          <w:rFonts w:eastAsia="MyriadPro-Regular"/>
          <w:sz w:val="16"/>
          <w:szCs w:val="16"/>
        </w:rPr>
        <w:t xml:space="preserve"> VAROVÁNÍ!</w:t>
      </w:r>
    </w:p>
    <w:p w:rsidR="00BD0385" w:rsidRDefault="00534CDF" w:rsidP="00534CDF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Označuje upozornění, při jehož nedodržení hrozí nebezpečí zranění nebo dokonce ohrožení života. </w:t>
      </w:r>
    </w:p>
    <w:p w:rsidR="00534CDF" w:rsidRPr="00065D83" w:rsidRDefault="00534CDF" w:rsidP="00534CDF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065D83">
        <w:rPr>
          <w:rFonts w:eastAsia="MyriadPro-Regular"/>
          <w:noProof/>
          <w:sz w:val="16"/>
          <w:szCs w:val="16"/>
        </w:rPr>
        <w:drawing>
          <wp:inline distT="0" distB="0" distL="0" distR="0">
            <wp:extent cx="200025" cy="209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83">
        <w:rPr>
          <w:rFonts w:eastAsia="MyriadPro-Regular"/>
          <w:sz w:val="16"/>
          <w:szCs w:val="16"/>
        </w:rPr>
        <w:t xml:space="preserve"> POZOR!</w:t>
      </w:r>
    </w:p>
    <w:p w:rsidR="00534CDF" w:rsidRPr="00BD0385" w:rsidRDefault="00534CDF" w:rsidP="00534CDF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Označuje upozornění, při jehož nedodržená hrozí nebezpečí věcné škody.</w:t>
      </w:r>
    </w:p>
    <w:p w:rsidR="00534CDF" w:rsidRPr="00BD0385" w:rsidRDefault="00534CDF" w:rsidP="00BD0385">
      <w:pPr>
        <w:autoSpaceDE w:val="0"/>
        <w:autoSpaceDN w:val="0"/>
        <w:adjustRightInd w:val="0"/>
        <w:rPr>
          <w:rFonts w:eastAsia="MyriadPro-Regular"/>
          <w:b/>
          <w:sz w:val="16"/>
          <w:szCs w:val="16"/>
        </w:rPr>
      </w:pPr>
      <w:r w:rsidRPr="00BD0385">
        <w:rPr>
          <w:rFonts w:eastAsia="MyriadPro-Regular"/>
          <w:b/>
          <w:sz w:val="16"/>
          <w:szCs w:val="16"/>
        </w:rPr>
        <w:t>Popis</w:t>
      </w:r>
    </w:p>
    <w:p w:rsidR="00534CDF" w:rsidRPr="00BD0385" w:rsidRDefault="007151B1" w:rsidP="00BD0385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2. Automatické programy symbolů</w:t>
      </w:r>
      <w:r w:rsidRPr="00BD0385">
        <w:rPr>
          <w:rFonts w:eastAsia="MyriadPro-Regular"/>
          <w:sz w:val="16"/>
          <w:szCs w:val="16"/>
        </w:rPr>
        <w:br/>
        <w:t>3. Zobraz</w:t>
      </w:r>
      <w:r w:rsidR="00BB7A2C" w:rsidRPr="00BD0385">
        <w:rPr>
          <w:rFonts w:eastAsia="MyriadPro-Regular"/>
          <w:sz w:val="16"/>
          <w:szCs w:val="16"/>
        </w:rPr>
        <w:t>ení</w:t>
      </w:r>
      <w:r w:rsidRPr="00BD0385">
        <w:rPr>
          <w:rFonts w:eastAsia="MyriadPro-Regular"/>
          <w:sz w:val="16"/>
          <w:szCs w:val="16"/>
        </w:rPr>
        <w:t xml:space="preserve"> teplot</w:t>
      </w:r>
      <w:r w:rsidR="00BB7A2C" w:rsidRPr="00BD0385">
        <w:rPr>
          <w:rFonts w:eastAsia="MyriadPro-Regular"/>
          <w:sz w:val="16"/>
          <w:szCs w:val="16"/>
        </w:rPr>
        <w:t>y</w:t>
      </w:r>
      <w:r w:rsidRPr="00BD0385">
        <w:rPr>
          <w:rFonts w:eastAsia="MyriadPro-Regular"/>
          <w:sz w:val="16"/>
          <w:szCs w:val="16"/>
        </w:rPr>
        <w:t xml:space="preserve"> / čas</w:t>
      </w:r>
      <w:r w:rsidR="00BB7A2C" w:rsidRPr="00BD0385">
        <w:rPr>
          <w:rFonts w:eastAsia="MyriadPro-Regular"/>
          <w:sz w:val="16"/>
          <w:szCs w:val="16"/>
        </w:rPr>
        <w:t>u</w:t>
      </w:r>
      <w:r w:rsidRPr="00BD0385">
        <w:rPr>
          <w:rFonts w:eastAsia="MyriadPro-Regular"/>
          <w:sz w:val="16"/>
          <w:szCs w:val="16"/>
        </w:rPr>
        <w:br/>
        <w:t>4. Tlačítka / pro změnu / nastavení</w:t>
      </w:r>
      <w:r w:rsidR="00BB7A2C" w:rsidRPr="00BD0385">
        <w:rPr>
          <w:rFonts w:eastAsia="MyriadPro-Regular"/>
          <w:sz w:val="16"/>
          <w:szCs w:val="16"/>
        </w:rPr>
        <w:t xml:space="preserve"> </w:t>
      </w:r>
      <w:r w:rsidRPr="00BD0385">
        <w:rPr>
          <w:rFonts w:eastAsia="MyriadPro-Regular"/>
          <w:sz w:val="16"/>
          <w:szCs w:val="16"/>
        </w:rPr>
        <w:t>teploty a času</w:t>
      </w:r>
      <w:r w:rsidRPr="00BD0385">
        <w:rPr>
          <w:rFonts w:eastAsia="MyriadPro-Regular"/>
          <w:sz w:val="16"/>
          <w:szCs w:val="16"/>
        </w:rPr>
        <w:br/>
        <w:t>5. Tlačítko zapnutí / vypnutí</w:t>
      </w:r>
      <w:r w:rsidRPr="00BD0385">
        <w:rPr>
          <w:rFonts w:eastAsia="MyriadPro-Regular"/>
          <w:sz w:val="16"/>
          <w:szCs w:val="16"/>
        </w:rPr>
        <w:br/>
        <w:t>6. Tlačítko Menu pro výběr programu</w:t>
      </w:r>
      <w:r w:rsidRPr="00BD0385">
        <w:rPr>
          <w:rFonts w:eastAsia="MyriadPro-Regular"/>
          <w:sz w:val="16"/>
          <w:szCs w:val="16"/>
        </w:rPr>
        <w:br/>
        <w:t xml:space="preserve">7. </w:t>
      </w:r>
      <w:r w:rsidR="00BB7A2C" w:rsidRPr="00BD0385">
        <w:rPr>
          <w:rFonts w:eastAsia="MyriadPro-Regular"/>
          <w:sz w:val="16"/>
          <w:szCs w:val="16"/>
        </w:rPr>
        <w:t>Tlačítko</w:t>
      </w:r>
      <w:r w:rsidRPr="00BD0385">
        <w:rPr>
          <w:rFonts w:eastAsia="MyriadPro-Regular"/>
          <w:sz w:val="16"/>
          <w:szCs w:val="16"/>
        </w:rPr>
        <w:t xml:space="preserve"> pro ruční zadávání</w:t>
      </w:r>
      <w:r w:rsidR="00BB7A2C" w:rsidRPr="00BD0385">
        <w:rPr>
          <w:rFonts w:eastAsia="MyriadPro-Regular"/>
          <w:sz w:val="16"/>
          <w:szCs w:val="16"/>
        </w:rPr>
        <w:t xml:space="preserve"> </w:t>
      </w:r>
      <w:r w:rsidRPr="00BD0385">
        <w:rPr>
          <w:rFonts w:eastAsia="MyriadPro-Regular"/>
          <w:sz w:val="16"/>
          <w:szCs w:val="16"/>
        </w:rPr>
        <w:t>Teplot</w:t>
      </w:r>
      <w:r w:rsidR="00BB7A2C" w:rsidRPr="00BD0385">
        <w:rPr>
          <w:rFonts w:eastAsia="MyriadPro-Regular"/>
          <w:sz w:val="16"/>
          <w:szCs w:val="16"/>
        </w:rPr>
        <w:t xml:space="preserve">y </w:t>
      </w:r>
      <w:r w:rsidRPr="00BD0385">
        <w:rPr>
          <w:rFonts w:eastAsia="MyriadPro-Regular"/>
          <w:sz w:val="16"/>
          <w:szCs w:val="16"/>
        </w:rPr>
        <w:t>/ čas</w:t>
      </w:r>
      <w:r w:rsidR="00BB7A2C" w:rsidRPr="00BD0385">
        <w:rPr>
          <w:rFonts w:eastAsia="MyriadPro-Regular"/>
          <w:sz w:val="16"/>
          <w:szCs w:val="16"/>
        </w:rPr>
        <w:t>u</w:t>
      </w:r>
      <w:r w:rsidRPr="00BD0385">
        <w:rPr>
          <w:rFonts w:eastAsia="MyriadPro-Regular"/>
          <w:sz w:val="16"/>
          <w:szCs w:val="16"/>
        </w:rPr>
        <w:br/>
        <w:t>9. Košík s</w:t>
      </w:r>
      <w:r w:rsidR="00BB7A2C" w:rsidRPr="00BD0385">
        <w:rPr>
          <w:rFonts w:eastAsia="MyriadPro-Regular"/>
          <w:sz w:val="16"/>
          <w:szCs w:val="16"/>
        </w:rPr>
        <w:t> </w:t>
      </w:r>
      <w:r w:rsidRPr="00BD0385">
        <w:rPr>
          <w:rFonts w:eastAsia="MyriadPro-Regular"/>
          <w:sz w:val="16"/>
          <w:szCs w:val="16"/>
        </w:rPr>
        <w:t>kerami</w:t>
      </w:r>
      <w:r w:rsidR="00BB7A2C" w:rsidRPr="00BD0385">
        <w:rPr>
          <w:rFonts w:eastAsia="MyriadPro-Regular"/>
          <w:sz w:val="16"/>
          <w:szCs w:val="16"/>
        </w:rPr>
        <w:t>ckým povrchem</w:t>
      </w:r>
      <w:r w:rsidRPr="00BD0385">
        <w:rPr>
          <w:rFonts w:eastAsia="MyriadPro-Regular"/>
          <w:sz w:val="16"/>
          <w:szCs w:val="16"/>
        </w:rPr>
        <w:br/>
        <w:t xml:space="preserve">10. </w:t>
      </w:r>
      <w:r w:rsidR="00BB7A2C" w:rsidRPr="00BD0385">
        <w:rPr>
          <w:rFonts w:eastAsia="MyriadPro-Regular"/>
          <w:sz w:val="16"/>
          <w:szCs w:val="16"/>
        </w:rPr>
        <w:t>Zásuvka pro koš</w:t>
      </w:r>
      <w:r w:rsidRPr="00BD0385">
        <w:rPr>
          <w:rFonts w:eastAsia="MyriadPro-Regular"/>
          <w:sz w:val="16"/>
          <w:szCs w:val="16"/>
        </w:rPr>
        <w:br/>
        <w:t>11.</w:t>
      </w:r>
      <w:r w:rsidR="00BB7A2C" w:rsidRPr="00BD0385">
        <w:rPr>
          <w:rFonts w:eastAsia="MyriadPro-Regular"/>
          <w:sz w:val="16"/>
          <w:szCs w:val="16"/>
        </w:rPr>
        <w:t xml:space="preserve"> zámek</w:t>
      </w:r>
      <w:r w:rsidRPr="00BD0385">
        <w:rPr>
          <w:rFonts w:eastAsia="MyriadPro-Regular"/>
          <w:sz w:val="16"/>
          <w:szCs w:val="16"/>
        </w:rPr>
        <w:br/>
        <w:t xml:space="preserve">12. </w:t>
      </w:r>
      <w:r w:rsidR="00BB7A2C" w:rsidRPr="00BD0385">
        <w:rPr>
          <w:rFonts w:eastAsia="MyriadPro-Regular"/>
          <w:sz w:val="16"/>
          <w:szCs w:val="16"/>
        </w:rPr>
        <w:t>rukojeť</w:t>
      </w:r>
    </w:p>
    <w:p w:rsidR="00534CDF" w:rsidRPr="00BD0385" w:rsidRDefault="00534CDF" w:rsidP="00BD0385">
      <w:pPr>
        <w:autoSpaceDE w:val="0"/>
        <w:autoSpaceDN w:val="0"/>
        <w:adjustRightInd w:val="0"/>
        <w:rPr>
          <w:rFonts w:eastAsia="MyriadPro-Regular"/>
          <w:b/>
          <w:sz w:val="16"/>
          <w:szCs w:val="16"/>
        </w:rPr>
      </w:pPr>
      <w:r w:rsidRPr="00BD0385">
        <w:rPr>
          <w:rFonts w:eastAsia="MyriadPro-Regular"/>
          <w:b/>
          <w:sz w:val="16"/>
          <w:szCs w:val="16"/>
        </w:rPr>
        <w:t>Bezpečnost</w:t>
      </w:r>
    </w:p>
    <w:p w:rsidR="00BD0385" w:rsidRDefault="00534CDF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Poškozená horkovzdušná fritéza může mít za následek věcné škody a zranění:  </w:t>
      </w:r>
    </w:p>
    <w:p w:rsidR="00534CDF" w:rsidRPr="00BD0385" w:rsidRDefault="00534CDF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Před každým použitím zkontrolujte, že je fritéza v pořádku. Pokud zjistíte nějaké vady, neprodleně se obraťte na výrobce nebo zákaznický servis či kvalifikovanou osobu. Nikdy nepoužívejte poškozený výrobek nebo poškozené příslušenství k tomuto výrobku. </w:t>
      </w:r>
    </w:p>
    <w:p w:rsidR="00534CDF" w:rsidRPr="00BD0385" w:rsidRDefault="00534CDF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Pokud je připojovací kabel poškozený, musí být nahrazen výrobcem nebo jeho zákaznickým servisem, aby se zabránilo případnému ohrožení. </w:t>
      </w:r>
    </w:p>
    <w:p w:rsidR="00534CDF" w:rsidRPr="00BD0385" w:rsidRDefault="00534CDF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Výrobek neobsahuje žádné části, které byste mohli vlastnoručně opravit. Opravy může provádět výhradně autorizovaný servis SEVERIN. Kontaktní údaje naleznete na konci tohoto návodu. </w:t>
      </w:r>
    </w:p>
    <w:p w:rsidR="00534CDF" w:rsidRPr="00BD0385" w:rsidRDefault="00534CDF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Horkovzdušná fritéza slouží výhradně k ohřívání potravin. Každé jiné používání proto znamená nedodržení účelu, ke kterému byla vyrobena, a může vést k vážným zraněním a škodám na výrobku. </w:t>
      </w:r>
    </w:p>
    <w:p w:rsidR="00534CDF" w:rsidRPr="00BD0385" w:rsidRDefault="00534CDF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Výrobek je určen k používání v domácnostech nebo v jim podobných místech, jako například v kancelářích a podobně. Výrobek není vhodný pro komerční využití, např. ve velkokapacitních kuchyních.  </w:t>
      </w:r>
    </w:p>
    <w:p w:rsidR="00534CDF" w:rsidRPr="00BD0385" w:rsidRDefault="00534CDF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Tento výrobek není určen k provozu pomocí časového spínače nebo systému dálkového ovládání.</w:t>
      </w:r>
    </w:p>
    <w:p w:rsidR="00534CDF" w:rsidRPr="00BD0385" w:rsidRDefault="00534CDF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Na rozdíl od běžných fritéz tato horkovzdušná fritéza nepotřebuje pro svůj provoz žádný olej či tuk.</w:t>
      </w:r>
    </w:p>
    <w:p w:rsidR="00534CDF" w:rsidRPr="00BD0385" w:rsidRDefault="00534CDF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Zásuvka pro koš i samotný fritovací koš nejsou určeny k používání na varných deskách.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Protože je horkovzdušná fritéza napájena elektřinou, hrozí nebezpečí úrazu elektrickým proudem. Dodržujte proto bezpodmínečně následující opatření: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Připojujte fritézu pouze do ochranné zásuvky, zapojené v souladu s bezpečnostními předpisy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Fritézu používejte jen v takovém případě, kdy napětí uvedené na výrobním štítku odpovídá napětí ve Vaší zásuvce.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Dávejte pozor na to, aby připojovací kabel nebyl ohnutý nebo přivřený a aby stejně jako fritéza nepřišel do styku se zdroji tepla (např. varné desky, hořáky plynu).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lastRenderedPageBreak/>
        <w:t>• Připojovací kabel nevytahujte ze zásuvky taháním, vytáhněte ho uchopením za zástrčku. Nenoste výrobek držením za jeho kabel.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Fritézu nikdy nedávejte do vody nebo jiných tekutin, nečistěte pod tekoucí vodou a nedávejte do myčky nádobí.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Nikdy se nedotýkejte zástrčky mokrýma rukama.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Nepoužívejte fritézu ve venkovním prostředí. 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Pokud je horkovzdušná fritéza zapojena do zásuvky, je její vnitřní prostor pod stálým proudem, i když je fritéza vypnutá. Po každém použití proto vytáhněte zástrčku ze zásuvky.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V případě nebezpečí nebo poruchy okamžitě vytáhněte zástrčku ze zásuvky. Proto mějte zásuvku, do níž je fritéza zapojena, vždy snadno přístupnou.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Před čištěním nebo údržbou výrobku vytáhněte jeho zástrčku ze zásuvky.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Nevkládejte do jakýchkoliv otvorů fritézy žádné předměty (větrací otvory).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Nebezpečí pro určité skupiny lidí 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Pro děti a osoby s omezenými schopnostmi existuje zvýšené nebezpečí zranění: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Horkovzdušná fritéza smí být používána dětmi staršími 8 let, stejně jako osobami se sníženými psychickými, smyslovými nebo mentálními schopnostmi nebo nedostatkem zkušeností a/nebo znalostí za předpokladu, že jsou pod dozorem nebo jsou poučeni o bezpečném používání tohoto výrobku, čemuž dostatečně porozuměli. Čistění a údržbu nesmějí vykonávat děti. Možné je to pouze v případě, že jsou starší 8 let a pod dozorem.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Děti mladší 8 let se musí držet v bezpečné vzdálenosti od výrobku a jeho připojení k síti. 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Dohlížejte na děti, aby si s fritézou nehrály. Nenechávejte fritézu bez dozoru po celou dobu jejího provozu.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Jestliže výrobek nepoužíváte, vytáhněte zástrčku ze zásuvky a výrobek dobře uschovejte tak, aby se k němu děti nedostaly.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Výrobek odpojujte ze sítě pokaždé, když není pod dozorem, a také před jeho sestavením, rozložením nebo čištěním. </w:t>
      </w:r>
    </w:p>
    <w:p w:rsidR="0019109E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Obalový materiál neponechávejte v dosahu dětí. Hrozí mimo jiné nebezpečí udušení!</w:t>
      </w:r>
    </w:p>
    <w:p w:rsidR="0018626E" w:rsidRPr="00BD0385" w:rsidRDefault="0018626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19109E" w:rsidRPr="0018626E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18626E">
        <w:rPr>
          <w:rFonts w:eastAsia="MyriadPro-Regular"/>
          <w:b/>
          <w:sz w:val="16"/>
          <w:szCs w:val="16"/>
        </w:rPr>
        <w:t>Horké povrchy</w:t>
      </w:r>
    </w:p>
    <w:p w:rsidR="0019109E" w:rsidRPr="00BD0385" w:rsidRDefault="0019109E" w:rsidP="0019109E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Horkovzdušná fritéza se zahřívá zevnitř, vzadu má větrací otvory, jimiž uniká horký vzduch a ohřívá fritézu v okolí větracích otvorů. Větrací otvory jsou označeny výstražným štítkem Horké povrchy, který Vás upozorňuje na nebezpečí popálení.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Nedotýkejte se výrobku vzadu u větracích otvorů, pokud právě probíhá fritování, nebo bezprostředně po něm.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Zásuvky na koš i samotného fritovacího koše se po ukončení přípravy pokrmu dotýkejte výhradně za rukojeť, nikdy přímo za zásuvku či koš. Zásuvku i koš umyjte až poté, co vychladnou.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Výrobek nepřemisťujte ani neposouvejte, jestliže právě frituje.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Při vytahování zásuvky pro koš uniká horký vzduch. Držte zásuvku pouze za rukojeť a nenaklánějte se nad ni.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Neponechávejte ležet horkou zásuvku pro koš ani horký fritovací koš bez dozoru.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Nedostatečná hygiena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V důsledku nedostatečné hygieny se mohou v horkovzdušné fritéze tvořit choroboplodné zárodky: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Před prvním použitím fritézu a všechno její příslušenství důkladně očistěte, stejně jako po každém použití tak, aby v ní nezaschly zbytky jídla. 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Nenechávejte v zásuvce pro fritovací koš žádné potraviny, když výrobek nepoužíváte.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Používání špatných čisticích prostředků může ohrozit zdraví:</w:t>
      </w:r>
    </w:p>
    <w:p w:rsidR="0019109E" w:rsidRPr="00BD0385" w:rsidRDefault="0019109E" w:rsidP="00BD038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K čištění používejte pouze takové čisticí prostředky, které jsou určeny pro čištění věcí, které přicházejí do kontaktu s potravinami. </w:t>
      </w:r>
    </w:p>
    <w:p w:rsidR="0018626E" w:rsidRDefault="0018626E" w:rsidP="0019109E">
      <w:pPr>
        <w:autoSpaceDE w:val="0"/>
        <w:autoSpaceDN w:val="0"/>
        <w:adjustRightInd w:val="0"/>
        <w:rPr>
          <w:rFonts w:eastAsia="MyriadPro-Regular"/>
          <w:b/>
          <w:sz w:val="16"/>
          <w:szCs w:val="16"/>
        </w:rPr>
      </w:pPr>
    </w:p>
    <w:p w:rsidR="0019109E" w:rsidRPr="0018626E" w:rsidRDefault="0019109E" w:rsidP="0019109E">
      <w:pPr>
        <w:autoSpaceDE w:val="0"/>
        <w:autoSpaceDN w:val="0"/>
        <w:adjustRightInd w:val="0"/>
        <w:rPr>
          <w:rFonts w:eastAsia="MyriadPro-Regular"/>
          <w:b/>
          <w:sz w:val="16"/>
          <w:szCs w:val="16"/>
        </w:rPr>
      </w:pPr>
      <w:r w:rsidRPr="0018626E">
        <w:rPr>
          <w:rFonts w:eastAsia="MyriadPro-Regular"/>
          <w:b/>
          <w:sz w:val="16"/>
          <w:szCs w:val="16"/>
        </w:rPr>
        <w:t xml:space="preserve"> Nebezpečí poškození výrobku</w:t>
      </w:r>
    </w:p>
    <w:p w:rsidR="0019109E" w:rsidRPr="00BD0385" w:rsidRDefault="0019109E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Nesprávné zacházení s výrobkem může způsobit škody:</w:t>
      </w:r>
    </w:p>
    <w:p w:rsidR="0019109E" w:rsidRPr="00BD0385" w:rsidRDefault="0019109E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Horkovzdušnou fritézu umístěte na suchý, rovný, neklouzavý, žáruvzdorný podklad, který navíc nereaguje s gumovými nožičkami fritézy. </w:t>
      </w:r>
    </w:p>
    <w:p w:rsidR="0019109E" w:rsidRPr="00BD0385" w:rsidRDefault="0019109E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• Nepokládejte fritézu na horký podklad nebo do blízkosti silného zdroje tepla. </w:t>
      </w:r>
    </w:p>
    <w:p w:rsidR="0019109E" w:rsidRPr="00BD0385" w:rsidRDefault="0019109E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Připojovací kabel nenechávejte viset volně dolů.</w:t>
      </w:r>
    </w:p>
    <w:p w:rsidR="0019109E" w:rsidRPr="00BD0385" w:rsidRDefault="0019109E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K čištění fritézy používejte pouze čisticí prostředky a pomůcky, uvedené v tomto návodu.</w:t>
      </w:r>
    </w:p>
    <w:p w:rsidR="0019109E" w:rsidRPr="00BD0385" w:rsidRDefault="0019109E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• Pokud chcete fritézu uschovat, vytáhněte zástrčku ze zásuvky a nechte fritézu zcela vychladnout.</w:t>
      </w:r>
    </w:p>
    <w:p w:rsidR="0019109E" w:rsidRPr="00BD0385" w:rsidRDefault="0019109E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19109E" w:rsidRPr="0018626E" w:rsidRDefault="007151B1" w:rsidP="0018626E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7151B1">
        <w:rPr>
          <w:rFonts w:eastAsia="MyriadPro-Regular"/>
          <w:b/>
          <w:sz w:val="16"/>
          <w:szCs w:val="16"/>
        </w:rPr>
        <w:t>Před prvním použitím</w:t>
      </w:r>
    </w:p>
    <w:p w:rsidR="00073DC8" w:rsidRPr="00BD0385" w:rsidRDefault="0019109E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Dříve než horkovzdušnou fritézu poprvé použijete, očistěte ji. Fritézu rovněž čistěte bezprostředně po každém použití. </w:t>
      </w:r>
      <w:r w:rsidR="007151B1" w:rsidRPr="007151B1">
        <w:rPr>
          <w:rFonts w:eastAsia="MyriadPro-Regular"/>
          <w:sz w:val="16"/>
          <w:szCs w:val="16"/>
        </w:rPr>
        <w:br/>
      </w:r>
      <w:r w:rsidR="007151B1" w:rsidRPr="007151B1">
        <w:rPr>
          <w:rFonts w:eastAsia="MyriadPro-Regular"/>
          <w:b/>
          <w:sz w:val="16"/>
          <w:szCs w:val="16"/>
        </w:rPr>
        <w:br/>
      </w:r>
      <w:r w:rsidR="00073DC8" w:rsidRPr="0018626E">
        <w:rPr>
          <w:rFonts w:eastAsia="MyriadPro-Regular"/>
          <w:b/>
          <w:sz w:val="16"/>
          <w:szCs w:val="16"/>
        </w:rPr>
        <w:t>Nastavení automatických programů</w:t>
      </w:r>
      <w:r w:rsidR="00073DC8" w:rsidRPr="00BD0385">
        <w:rPr>
          <w:rFonts w:eastAsia="MyriadPro-Regular"/>
          <w:sz w:val="16"/>
          <w:szCs w:val="16"/>
        </w:rPr>
        <w:t xml:space="preserve"> 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 xml:space="preserve">Horkovzdušnou fritézu umístěte na suchý, rovný, neklouzavý, žáruvzdorný podklad, který navíc nereaguje s gumovými nožičkami fritézy. 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Nachystejte si pokrm.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Zasuňte zástrčku do zásuvky.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Vložte pokrm do zásuvky s fritovacím košem. Dejte pozor na to, aby nebylo překročeno označení „MAX“.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Zasuňte zásuvku s košem do fritézy.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Zapněte fritézu pomocí tlačítka pro zapnutí/vypnutí.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Poklepejte na tlačítko pro nabídku programů.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Na displeji začne blikat první automatický program.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Poklepávejte na tlačítko pro nabídku programů tak dlouho, dokud nezačne blikat automatický program, který chcete použít.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Poklepejte na tlačítko pro zahájení/přerušení.</w:t>
      </w:r>
    </w:p>
    <w:p w:rsidR="00073DC8" w:rsidRPr="0018626E" w:rsidRDefault="00073DC8" w:rsidP="0018626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 xml:space="preserve">Pokrm je fritován. Jakmile uplyne čas jeho přípravy, zazní pípnutí. </w:t>
      </w:r>
    </w:p>
    <w:p w:rsidR="00073DC8" w:rsidRPr="00065D83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065D83">
        <w:rPr>
          <w:rFonts w:eastAsia="MyriadPro-Regular"/>
          <w:noProof/>
          <w:sz w:val="16"/>
          <w:szCs w:val="16"/>
        </w:rPr>
        <w:lastRenderedPageBreak/>
        <w:drawing>
          <wp:inline distT="0" distB="0" distL="0" distR="0">
            <wp:extent cx="219075" cy="2095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83">
        <w:rPr>
          <w:rFonts w:eastAsia="MyriadPro-Regular"/>
          <w:sz w:val="16"/>
          <w:szCs w:val="16"/>
        </w:rPr>
        <w:t>VAROVÁNÍ!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Nebezpečí popálení!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– Horký není pouze pokrm, ale také zásuvka s fritovacím košem. Proto se zásuvky s fritovacím košem dotýkejte jen za rukojeť. Pokrmu se nedotýkejte tak dlouho, dokud alespoň trochu nevychladne.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Pomocí rukojeti odeberte z fritézy zásuvku pro fritovací koš.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Přendejte pokrm do žáruvzdorné nádoby.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Nechte zásuvku a fritovací koš vychladnout.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Vytáhněte zástrčku ze zásuvky.</w:t>
      </w:r>
    </w:p>
    <w:p w:rsidR="00073DC8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Očistěte zásuvku a fritovací koš </w:t>
      </w:r>
    </w:p>
    <w:p w:rsidR="0018626E" w:rsidRPr="00BD0385" w:rsidRDefault="0018626E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b/>
          <w:sz w:val="16"/>
          <w:szCs w:val="16"/>
        </w:rPr>
        <w:t>Manuální nastavení času a teploty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 xml:space="preserve">Horkovzdušnou fritézu umístěte na suchý, rovný, neklouzavý, žáruvzdorný podklad, který navíc nereaguje s gumovými nožičkami fritézy. 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Nachystejte si pokrm.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Zasuňte zástrčku do zásuvky.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Vložte pokrm do zásuvky s fritovacím košem. Dejte pozor na to, aby nebylo překročeno označení „MAX“.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Zasuňte zásuvku s košem do fritézy.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Zapněte fritézu pomocí tlačítka pro zapnutí/vypnutí.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Poklepejte na tlačítko pro manuální nastavení teploty/času a pomocí šipek nastavte minuty.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Poklepejte ještě jednou na tlačítko pro manuální nastavení teploty/času a pomocí šipek nastavte sekundy.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Poklepejte na tlačítko pro manuální nastavení teploty/času a pomocí šipek zadejte teplotu.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>Poklepejte na tlačítko pro zahájení/přerušení.</w:t>
      </w:r>
    </w:p>
    <w:p w:rsidR="00073DC8" w:rsidRPr="0018626E" w:rsidRDefault="00073DC8" w:rsidP="0018626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18626E">
        <w:rPr>
          <w:rFonts w:eastAsia="MyriadPro-Regular"/>
          <w:sz w:val="16"/>
          <w:szCs w:val="16"/>
        </w:rPr>
        <w:t xml:space="preserve">Pokrm je fritován. Jakmile uplyne čas jeho přípravy, zazní pípnutí. </w:t>
      </w:r>
      <w:bookmarkStart w:id="0" w:name="_GoBack"/>
      <w:bookmarkEnd w:id="0"/>
    </w:p>
    <w:p w:rsidR="00073DC8" w:rsidRPr="00065D83" w:rsidRDefault="00073DC8" w:rsidP="00073DC8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065D83">
        <w:rPr>
          <w:rFonts w:eastAsia="MyriadPro-Regular"/>
          <w:noProof/>
          <w:sz w:val="16"/>
          <w:szCs w:val="16"/>
        </w:rPr>
        <w:drawing>
          <wp:inline distT="0" distB="0" distL="0" distR="0">
            <wp:extent cx="182880" cy="182880"/>
            <wp:effectExtent l="0" t="0" r="762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83">
        <w:rPr>
          <w:rFonts w:eastAsia="MyriadPro-Regular"/>
          <w:sz w:val="16"/>
          <w:szCs w:val="16"/>
        </w:rPr>
        <w:t>VAROVÁNÍ!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Nebezpečí popálení!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– Horký není pouze pokrm, ale také zásuvka s fritovacím košem. Proto se zásuvky s fritovacím košem dotýkejte jen za rukojeť. Pokrmu se nedotýkejte tak dlouho, dokud alespoň trochu nevychladne.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073DC8" w:rsidRPr="008B215B" w:rsidRDefault="00073DC8" w:rsidP="008B215B">
      <w:pPr>
        <w:pStyle w:val="Odstavecseseznamem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8B215B">
        <w:rPr>
          <w:rFonts w:eastAsia="MyriadPro-Regular"/>
          <w:sz w:val="16"/>
          <w:szCs w:val="16"/>
        </w:rPr>
        <w:t>Pomocí rukojeti odeberte z fritézy zásuvku pro fritovací koš.</w:t>
      </w:r>
    </w:p>
    <w:p w:rsidR="00073DC8" w:rsidRPr="008B215B" w:rsidRDefault="00073DC8" w:rsidP="008B215B">
      <w:pPr>
        <w:pStyle w:val="Odstavecseseznamem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8B215B">
        <w:rPr>
          <w:rFonts w:eastAsia="MyriadPro-Regular"/>
          <w:sz w:val="16"/>
          <w:szCs w:val="16"/>
        </w:rPr>
        <w:t>Přendejte pokrm do žáruvzdorné nádoby.</w:t>
      </w:r>
    </w:p>
    <w:p w:rsidR="00073DC8" w:rsidRPr="008B215B" w:rsidRDefault="00073DC8" w:rsidP="008B215B">
      <w:pPr>
        <w:pStyle w:val="Odstavecseseznamem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8B215B">
        <w:rPr>
          <w:rFonts w:eastAsia="MyriadPro-Regular"/>
          <w:sz w:val="16"/>
          <w:szCs w:val="16"/>
        </w:rPr>
        <w:t>Nechte zásuvku a fritovací koš vychladnout.</w:t>
      </w:r>
    </w:p>
    <w:p w:rsidR="00073DC8" w:rsidRPr="008B215B" w:rsidRDefault="00073DC8" w:rsidP="008B215B">
      <w:pPr>
        <w:pStyle w:val="Odstavecseseznamem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8B215B">
        <w:rPr>
          <w:rFonts w:eastAsia="MyriadPro-Regular"/>
          <w:sz w:val="16"/>
          <w:szCs w:val="16"/>
        </w:rPr>
        <w:t>Vytáhněte zástrčku ze zásuvky.</w:t>
      </w:r>
    </w:p>
    <w:p w:rsidR="00073DC8" w:rsidRPr="008B215B" w:rsidRDefault="00073DC8" w:rsidP="008B215B">
      <w:pPr>
        <w:pStyle w:val="Odstavecseseznamem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8B215B">
        <w:rPr>
          <w:rFonts w:eastAsia="MyriadPro-Regular"/>
          <w:sz w:val="16"/>
          <w:szCs w:val="16"/>
        </w:rPr>
        <w:t>Očistěte zásuvku a fritovací koš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073DC8" w:rsidRPr="008B215B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8B215B">
        <w:rPr>
          <w:rFonts w:eastAsia="MyriadPro-Regular"/>
          <w:b/>
          <w:sz w:val="16"/>
          <w:szCs w:val="16"/>
        </w:rPr>
        <w:t>Tipy na přípravu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Čas přípravy záleží na množství a složení pokrmu, tj. hluboce zmrazený pokrm nebo tvrdá zelenina se musí připravovat déle apod. </w:t>
      </w:r>
    </w:p>
    <w:p w:rsidR="00EE34A3" w:rsidRPr="00BD0385" w:rsidRDefault="00EE34A3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240"/>
        <w:gridCol w:w="1260"/>
        <w:gridCol w:w="1080"/>
        <w:gridCol w:w="1800"/>
      </w:tblGrid>
      <w:tr w:rsidR="00EE34A3" w:rsidRPr="00BD0385" w:rsidTr="00241713">
        <w:tc>
          <w:tcPr>
            <w:tcW w:w="1008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Symbol</w:t>
            </w:r>
          </w:p>
        </w:tc>
        <w:tc>
          <w:tcPr>
            <w:tcW w:w="324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Pokrm</w:t>
            </w:r>
          </w:p>
        </w:tc>
        <w:tc>
          <w:tcPr>
            <w:tcW w:w="126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Volba programu</w:t>
            </w:r>
          </w:p>
        </w:tc>
        <w:tc>
          <w:tcPr>
            <w:tcW w:w="108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Teplota</w:t>
            </w:r>
          </w:p>
        </w:tc>
        <w:tc>
          <w:tcPr>
            <w:tcW w:w="180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Čas</w:t>
            </w:r>
          </w:p>
        </w:tc>
      </w:tr>
      <w:tr w:rsidR="00EE34A3" w:rsidRPr="00BD0385" w:rsidTr="00241713">
        <w:tc>
          <w:tcPr>
            <w:tcW w:w="1008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object w:dxaOrig="420" w:dyaOrig="480">
                <v:shape id="_x0000_i1026" type="#_x0000_t75" style="width:21pt;height:24pt" o:ole="">
                  <v:imagedata r:id="rId8" o:title=""/>
                </v:shape>
                <o:OLEObject Type="Embed" ProgID="PBrush" ShapeID="_x0000_i1026" DrawAspect="Content" ObjectID="_1579588175" r:id="rId9"/>
              </w:object>
            </w:r>
          </w:p>
        </w:tc>
        <w:tc>
          <w:tcPr>
            <w:tcW w:w="324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Malé dortíky ve formičkách vhodných do trouby</w:t>
            </w:r>
          </w:p>
        </w:tc>
        <w:tc>
          <w:tcPr>
            <w:tcW w:w="126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„</w:t>
            </w:r>
            <w:proofErr w:type="spellStart"/>
            <w:r w:rsidRPr="00BD0385">
              <w:rPr>
                <w:rFonts w:eastAsia="MyriadPro-Regular"/>
                <w:sz w:val="16"/>
                <w:szCs w:val="16"/>
              </w:rPr>
              <w:t>Bread</w:t>
            </w:r>
            <w:proofErr w:type="spellEnd"/>
            <w:r w:rsidRPr="00BD0385">
              <w:rPr>
                <w:rFonts w:eastAsia="MyriadPro-Regular"/>
                <w:sz w:val="16"/>
                <w:szCs w:val="16"/>
              </w:rPr>
              <w:t>“</w:t>
            </w:r>
          </w:p>
        </w:tc>
        <w:tc>
          <w:tcPr>
            <w:tcW w:w="108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180 °C</w:t>
            </w:r>
          </w:p>
        </w:tc>
        <w:tc>
          <w:tcPr>
            <w:tcW w:w="180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13-17 min.</w:t>
            </w:r>
          </w:p>
        </w:tc>
      </w:tr>
      <w:tr w:rsidR="00EE34A3" w:rsidRPr="00BD0385" w:rsidTr="00241713">
        <w:tc>
          <w:tcPr>
            <w:tcW w:w="1008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object w:dxaOrig="360" w:dyaOrig="450">
                <v:shape id="_x0000_i1027" type="#_x0000_t75" style="width:18pt;height:22.5pt" o:ole="">
                  <v:imagedata r:id="rId10" o:title=""/>
                </v:shape>
                <o:OLEObject Type="Embed" ProgID="PBrush" ShapeID="_x0000_i1027" DrawAspect="Content" ObjectID="_1579588176" r:id="rId11"/>
              </w:object>
            </w:r>
          </w:p>
        </w:tc>
        <w:tc>
          <w:tcPr>
            <w:tcW w:w="324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Hranolky (hluboce zmrazené)</w:t>
            </w:r>
          </w:p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Hranolky (čerstvé)</w:t>
            </w:r>
          </w:p>
        </w:tc>
        <w:tc>
          <w:tcPr>
            <w:tcW w:w="126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„Chips“</w:t>
            </w:r>
          </w:p>
        </w:tc>
        <w:tc>
          <w:tcPr>
            <w:tcW w:w="108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80 ﾰC"/>
              </w:smartTagPr>
              <w:r w:rsidRPr="00BD0385">
                <w:rPr>
                  <w:rFonts w:eastAsia="MyriadPro-Regular"/>
                  <w:sz w:val="16"/>
                  <w:szCs w:val="16"/>
                </w:rPr>
                <w:t>180 °C</w:t>
              </w:r>
            </w:smartTag>
          </w:p>
        </w:tc>
        <w:tc>
          <w:tcPr>
            <w:tcW w:w="180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20 min.</w:t>
            </w:r>
          </w:p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15 min.</w:t>
            </w:r>
          </w:p>
        </w:tc>
      </w:tr>
      <w:tr w:rsidR="00EE34A3" w:rsidRPr="00BD0385" w:rsidTr="00241713">
        <w:tc>
          <w:tcPr>
            <w:tcW w:w="1008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object w:dxaOrig="510" w:dyaOrig="435">
                <v:shape id="_x0000_i1028" type="#_x0000_t75" style="width:25.5pt;height:21.75pt" o:ole="">
                  <v:imagedata r:id="rId12" o:title=""/>
                </v:shape>
                <o:OLEObject Type="Embed" ProgID="PBrush" ShapeID="_x0000_i1028" DrawAspect="Content" ObjectID="_1579588177" r:id="rId13"/>
              </w:object>
            </w:r>
          </w:p>
        </w:tc>
        <w:tc>
          <w:tcPr>
            <w:tcW w:w="324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Zelenina, např. mrkev</w:t>
            </w:r>
          </w:p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Zelenina, např. cukety</w:t>
            </w:r>
          </w:p>
        </w:tc>
        <w:tc>
          <w:tcPr>
            <w:tcW w:w="126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Manuální nastavení</w:t>
            </w:r>
          </w:p>
        </w:tc>
        <w:tc>
          <w:tcPr>
            <w:tcW w:w="108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60 ﾰC"/>
              </w:smartTagPr>
              <w:r w:rsidRPr="00BD0385">
                <w:rPr>
                  <w:rFonts w:eastAsia="MyriadPro-Regular"/>
                  <w:sz w:val="16"/>
                  <w:szCs w:val="16"/>
                </w:rPr>
                <w:t>160 °C</w:t>
              </w:r>
            </w:smartTag>
          </w:p>
        </w:tc>
        <w:tc>
          <w:tcPr>
            <w:tcW w:w="1800" w:type="dxa"/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15-17 min.</w:t>
            </w:r>
          </w:p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10-12 min.</w:t>
            </w:r>
          </w:p>
        </w:tc>
      </w:tr>
      <w:tr w:rsidR="00EE34A3" w:rsidRPr="00BD0385" w:rsidTr="00EE34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object w:dxaOrig="630" w:dyaOrig="450">
                <v:shape id="_x0000_i1029" type="#_x0000_t75" style="width:31.5pt;height:22.5pt" o:ole="">
                  <v:imagedata r:id="rId14" o:title=""/>
                </v:shape>
                <o:OLEObject Type="Embed" ProgID="PBrush" ShapeID="_x0000_i1029" DrawAspect="Content" ObjectID="_1579588178" r:id="rId15"/>
              </w:objec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Kuře (čerstvé)</w:t>
            </w:r>
          </w:p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Kuře (hluboce zmrazené)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„</w:t>
            </w:r>
            <w:proofErr w:type="spellStart"/>
            <w:r w:rsidRPr="00BD0385">
              <w:rPr>
                <w:rFonts w:eastAsia="MyriadPro-Regular"/>
                <w:sz w:val="16"/>
                <w:szCs w:val="16"/>
              </w:rPr>
              <w:t>Chicken</w:t>
            </w:r>
            <w:proofErr w:type="spellEnd"/>
            <w:r w:rsidRPr="00BD0385">
              <w:rPr>
                <w:rFonts w:eastAsia="MyriadPro-Regular"/>
                <w:sz w:val="16"/>
                <w:szCs w:val="16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200 °C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20-22 min.</w:t>
            </w:r>
          </w:p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22-25 min.</w:t>
            </w:r>
          </w:p>
        </w:tc>
      </w:tr>
      <w:tr w:rsidR="00EE34A3" w:rsidRPr="00BD0385" w:rsidTr="00EE34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object w:dxaOrig="525" w:dyaOrig="435">
                <v:shape id="_x0000_i1030" type="#_x0000_t75" style="width:26.25pt;height:21.75pt" o:ole="">
                  <v:imagedata r:id="rId16" o:title=""/>
                </v:shape>
                <o:OLEObject Type="Embed" ProgID="PBrush" ShapeID="_x0000_i1030" DrawAspect="Content" ObjectID="_1579588179" r:id="rId17"/>
              </w:objec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Krevety (hluboce zmrazené)</w:t>
            </w:r>
          </w:p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Krevety (čerstvé)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„</w:t>
            </w:r>
            <w:proofErr w:type="spellStart"/>
            <w:r w:rsidRPr="00BD0385">
              <w:rPr>
                <w:rFonts w:eastAsia="MyriadPro-Regular"/>
                <w:sz w:val="16"/>
                <w:szCs w:val="16"/>
              </w:rPr>
              <w:t>Shrimp</w:t>
            </w:r>
            <w:proofErr w:type="spellEnd"/>
            <w:r w:rsidRPr="00BD0385">
              <w:rPr>
                <w:rFonts w:eastAsia="MyriadPro-Regular"/>
                <w:sz w:val="16"/>
                <w:szCs w:val="16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180 °C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10–16 min.</w:t>
            </w:r>
          </w:p>
        </w:tc>
      </w:tr>
      <w:tr w:rsidR="00EE34A3" w:rsidRPr="00BD0385" w:rsidTr="00EE34A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object w:dxaOrig="600" w:dyaOrig="420">
                <v:shape id="_x0000_i1031" type="#_x0000_t75" style="width:30pt;height:21pt" o:ole="">
                  <v:imagedata r:id="rId18" o:title=""/>
                </v:shape>
                <o:OLEObject Type="Embed" ProgID="PBrush" ShapeID="_x0000_i1031" DrawAspect="Content" ObjectID="_1579588180" r:id="rId19"/>
              </w:objec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Maso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„</w:t>
            </w:r>
            <w:proofErr w:type="spellStart"/>
            <w:r w:rsidRPr="00BD0385">
              <w:rPr>
                <w:rFonts w:eastAsia="MyriadPro-Regular"/>
                <w:sz w:val="16"/>
                <w:szCs w:val="16"/>
              </w:rPr>
              <w:t>Beef</w:t>
            </w:r>
            <w:proofErr w:type="spellEnd"/>
            <w:r w:rsidRPr="00BD0385">
              <w:rPr>
                <w:rFonts w:eastAsia="MyriadPro-Regular"/>
                <w:sz w:val="16"/>
                <w:szCs w:val="16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180 °C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 xml:space="preserve">podle tloušťky, </w:t>
            </w:r>
          </w:p>
          <w:p w:rsidR="00EE34A3" w:rsidRPr="00BD0385" w:rsidRDefault="00EE34A3" w:rsidP="00241713">
            <w:pPr>
              <w:autoSpaceDE w:val="0"/>
              <w:autoSpaceDN w:val="0"/>
              <w:adjustRightInd w:val="0"/>
              <w:rPr>
                <w:rFonts w:eastAsia="MyriadPro-Regular"/>
                <w:sz w:val="16"/>
                <w:szCs w:val="16"/>
              </w:rPr>
            </w:pPr>
            <w:r w:rsidRPr="00BD0385">
              <w:rPr>
                <w:rFonts w:eastAsia="MyriadPro-Regular"/>
                <w:sz w:val="16"/>
                <w:szCs w:val="16"/>
              </w:rPr>
              <w:t>10-16 min.</w:t>
            </w:r>
          </w:p>
        </w:tc>
      </w:tr>
    </w:tbl>
    <w:p w:rsidR="00EE34A3" w:rsidRPr="00BD0385" w:rsidRDefault="00EE34A3" w:rsidP="00073DC8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</w:p>
    <w:p w:rsidR="00073DC8" w:rsidRPr="00065D83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065D83">
        <w:rPr>
          <w:rFonts w:eastAsia="MyriadPro-Regular"/>
          <w:noProof/>
          <w:sz w:val="16"/>
          <w:szCs w:val="16"/>
        </w:rPr>
        <w:lastRenderedPageBreak/>
        <w:drawing>
          <wp:inline distT="0" distB="0" distL="0" distR="0">
            <wp:extent cx="200025" cy="2095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83">
        <w:rPr>
          <w:rFonts w:eastAsia="MyriadPro-Regular"/>
          <w:sz w:val="16"/>
          <w:szCs w:val="16"/>
        </w:rPr>
        <w:t xml:space="preserve"> </w:t>
      </w:r>
      <w:r w:rsidRPr="0018626E">
        <w:rPr>
          <w:rFonts w:eastAsia="MyriadPro-Regular"/>
          <w:b/>
          <w:sz w:val="16"/>
          <w:szCs w:val="16"/>
        </w:rPr>
        <w:t>POZOR!</w:t>
      </w:r>
      <w:r w:rsidR="00EE34A3" w:rsidRPr="0018626E">
        <w:rPr>
          <w:rFonts w:eastAsia="MyriadPro-Regular"/>
          <w:b/>
          <w:sz w:val="16"/>
          <w:szCs w:val="16"/>
        </w:rPr>
        <w:t xml:space="preserve"> Péče a údržba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K čištění nepoužívejte abrazivní prostředky, agresivní čističe nebo pomůcky, které by poškrábaly povrch fritézy.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1. Fritézu očistěte vlhkým hadříkem.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2. Odeberte z fritézy zásuvku s fritovacím košem. 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3. Stiskněte tlačítko pro otevření a odeberte ze zásuvky fritovací koš.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073DC8" w:rsidRPr="00065D83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065D83">
        <w:rPr>
          <w:rFonts w:eastAsia="MyriadPro-Regular"/>
          <w:noProof/>
          <w:sz w:val="16"/>
          <w:szCs w:val="16"/>
        </w:rPr>
        <w:drawing>
          <wp:inline distT="0" distB="0" distL="0" distR="0">
            <wp:extent cx="200025" cy="2095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83">
        <w:rPr>
          <w:rFonts w:eastAsia="MyriadPro-Regular"/>
          <w:sz w:val="16"/>
          <w:szCs w:val="16"/>
        </w:rPr>
        <w:t xml:space="preserve"> POZOR!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Zásuvka pro koš ani samotný fritovací koš nejsou vhodné pro mytí v myčce nádobí. 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4. Zásuvku pro koš čistěte zevnitř i zvnějšku běžným čisticím prostředkem pod čistou tekoucí vodou. 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5. Fritovací koš čistěte zevnitř i zvnějšku běžným čisticím prostředkem pod čistou tekoucí vodou.</w:t>
      </w: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517C80" w:rsidRPr="0018626E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18626E">
        <w:rPr>
          <w:rFonts w:eastAsia="MyriadPro-Regular"/>
          <w:b/>
          <w:sz w:val="16"/>
          <w:szCs w:val="16"/>
        </w:rPr>
        <w:t>Náhradní díly a příslušenství</w:t>
      </w: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Náhradní díly a příslušenství lze pohodlně objednat přes internet na stránce www.severin.de </w:t>
      </w:r>
      <w:proofErr w:type="gramStart"/>
      <w:r w:rsidRPr="00BD0385">
        <w:rPr>
          <w:rFonts w:eastAsia="MyriadPro-Regular"/>
          <w:sz w:val="16"/>
          <w:szCs w:val="16"/>
        </w:rPr>
        <w:t>v  záložce</w:t>
      </w:r>
      <w:proofErr w:type="gramEnd"/>
      <w:r w:rsidRPr="00BD0385">
        <w:rPr>
          <w:rFonts w:eastAsia="MyriadPro-Regular"/>
          <w:sz w:val="16"/>
          <w:szCs w:val="16"/>
        </w:rPr>
        <w:t xml:space="preserve"> „</w:t>
      </w:r>
      <w:proofErr w:type="spellStart"/>
      <w:r w:rsidRPr="00BD0385">
        <w:rPr>
          <w:rFonts w:eastAsia="MyriadPro-Regular"/>
          <w:sz w:val="16"/>
          <w:szCs w:val="16"/>
        </w:rPr>
        <w:t>Service</w:t>
      </w:r>
      <w:proofErr w:type="spellEnd"/>
      <w:r w:rsidRPr="00BD0385">
        <w:rPr>
          <w:rFonts w:eastAsia="MyriadPro-Regular"/>
          <w:sz w:val="16"/>
          <w:szCs w:val="16"/>
        </w:rPr>
        <w:t xml:space="preserve"> / </w:t>
      </w:r>
      <w:proofErr w:type="spellStart"/>
      <w:r w:rsidRPr="00BD0385">
        <w:rPr>
          <w:rFonts w:eastAsia="MyriadPro-Regular"/>
          <w:sz w:val="16"/>
          <w:szCs w:val="16"/>
        </w:rPr>
        <w:t>Ersatzteil</w:t>
      </w:r>
      <w:proofErr w:type="spellEnd"/>
      <w:r w:rsidRPr="00BD0385">
        <w:rPr>
          <w:rFonts w:eastAsia="MyriadPro-Regular"/>
          <w:sz w:val="16"/>
          <w:szCs w:val="16"/>
        </w:rPr>
        <w:t>-Shop“.</w:t>
      </w:r>
    </w:p>
    <w:p w:rsidR="00073DC8" w:rsidRPr="00BD0385" w:rsidRDefault="00073DC8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517C80" w:rsidRPr="0018626E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18626E">
        <w:rPr>
          <w:rFonts w:eastAsia="MyriadPro-Regular"/>
          <w:b/>
          <w:sz w:val="16"/>
          <w:szCs w:val="16"/>
        </w:rPr>
        <w:t>Likvidace výrobku</w:t>
      </w: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273685" cy="366395"/>
            <wp:effectExtent l="0" t="0" r="0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385">
        <w:rPr>
          <w:rFonts w:eastAsia="MyriadPro-Regular"/>
          <w:sz w:val="16"/>
          <w:szCs w:val="16"/>
        </w:rPr>
        <w:t xml:space="preserve">Výrobky označené tímto symbolem musí být likvidovány odděleně od domácího odpadu. Tyto výrobky obsahují cenné suroviny, které mohou být opětovně využity. Správná likvidace výrobku chrání jak životní prostředí, tak i naše zdraví. Bližší informace o likvidaci Vám sdělí místně příslušný úřad, případně prodejce. </w:t>
      </w: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Záruka</w:t>
      </w: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Nároky plynoucí ze zákonné záruky zůstávají těmito záručními podmínkami nedotčeny.</w:t>
      </w: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V případě probíhající záruční lhůty se prosím obraťte na prodejce. </w:t>
      </w: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Firma SEVERIN poskytuje záruku na své výrobky 2 roky od data jejich koupě. V tomto časovém období odstraníme zdarma všechny závady, které prokazatelně spočívají ve vadách materiálu či zhotovení a významně omezují funkčnost výrobku. Jiné nároky jsou vyloučeny.</w:t>
      </w: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>Záruka se nevztahuje na tyto případy:</w:t>
      </w: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Škody, které souvisejí s nedodržováním podmínek používání výrobku dle jeho návodu, s nesprávným zacházením nebo běžným opotřebením výrobku, stejně jako na snadno rozbitelné části, jako jsou např. sklo, umělá hmota nebo žárovka.  </w:t>
      </w:r>
    </w:p>
    <w:p w:rsidR="00517C80" w:rsidRPr="00BD0385" w:rsidRDefault="00517C80" w:rsidP="0018626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BD0385">
        <w:rPr>
          <w:rFonts w:eastAsia="MyriadPro-Regular"/>
          <w:sz w:val="16"/>
          <w:szCs w:val="16"/>
        </w:rPr>
        <w:t xml:space="preserve">Záruka zaniká při opravách výrobku v neautorizovaných servisech značky SEVERIN. Pokud výrobek vyžaduje opravu, obraťte se prosím telefonicky nebo emailem na náš zákaznický servis. Kontaktní údaje naleznete na konci tohoto návodu.  </w:t>
      </w:r>
    </w:p>
    <w:p w:rsidR="00BD0385" w:rsidRPr="00BD0385" w:rsidRDefault="00BD0385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</w:p>
    <w:p w:rsidR="00BD0385" w:rsidRPr="00BD0385" w:rsidRDefault="00BD0385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</w:p>
    <w:sectPr w:rsidR="00BD0385" w:rsidRPr="00BD0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9pt" o:bullet="t">
        <v:imagedata r:id="rId1" o:title=""/>
      </v:shape>
    </w:pict>
  </w:numPicBullet>
  <w:abstractNum w:abstractNumId="0" w15:restartNumberingAfterBreak="0">
    <w:nsid w:val="0B4E6199"/>
    <w:multiLevelType w:val="hybridMultilevel"/>
    <w:tmpl w:val="D5920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92856"/>
    <w:multiLevelType w:val="hybridMultilevel"/>
    <w:tmpl w:val="56A8CC76"/>
    <w:lvl w:ilvl="0" w:tplc="557866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98D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5A1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58C4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644C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EA1F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B4C1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48E6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9A14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85E487B"/>
    <w:multiLevelType w:val="hybridMultilevel"/>
    <w:tmpl w:val="C3C850C0"/>
    <w:lvl w:ilvl="0" w:tplc="3A4E4D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9E79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A2D7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C1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C0F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98AE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E690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0C26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CC1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1E97D57"/>
    <w:multiLevelType w:val="hybridMultilevel"/>
    <w:tmpl w:val="6B1C9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F1287"/>
    <w:multiLevelType w:val="hybridMultilevel"/>
    <w:tmpl w:val="E0081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61E12"/>
    <w:multiLevelType w:val="hybridMultilevel"/>
    <w:tmpl w:val="B6F090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2529A3"/>
    <w:multiLevelType w:val="hybridMultilevel"/>
    <w:tmpl w:val="393AEF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DF49B9"/>
    <w:multiLevelType w:val="hybridMultilevel"/>
    <w:tmpl w:val="06ECE694"/>
    <w:lvl w:ilvl="0" w:tplc="48C651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30DC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A22B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82AB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64C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CB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36FA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8E10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0C75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B1"/>
    <w:rsid w:val="00073DC8"/>
    <w:rsid w:val="0018626E"/>
    <w:rsid w:val="0019109E"/>
    <w:rsid w:val="0023207F"/>
    <w:rsid w:val="00517C80"/>
    <w:rsid w:val="00534CDF"/>
    <w:rsid w:val="005F3CB3"/>
    <w:rsid w:val="007151B1"/>
    <w:rsid w:val="00822700"/>
    <w:rsid w:val="008B215B"/>
    <w:rsid w:val="009146CA"/>
    <w:rsid w:val="0093682D"/>
    <w:rsid w:val="00BB7A2C"/>
    <w:rsid w:val="00BD0385"/>
    <w:rsid w:val="00E20B8D"/>
    <w:rsid w:val="00E753FB"/>
    <w:rsid w:val="00EE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D0CC5CE0-36DF-415D-9ED7-D1FF484E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3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0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2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99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28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46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74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092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3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7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30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60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62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21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92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9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oleObject" Target="embeddings/oleObject3.bin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oleObject" Target="embeddings/oleObject2.bin"/><Relationship Id="rId5" Type="http://schemas.openxmlformats.org/officeDocument/2006/relationships/image" Target="media/image2.png"/><Relationship Id="rId15" Type="http://schemas.openxmlformats.org/officeDocument/2006/relationships/oleObject" Target="embeddings/oleObject4.bin"/><Relationship Id="rId10" Type="http://schemas.openxmlformats.org/officeDocument/2006/relationships/image" Target="media/image6.png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1755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Kinačová</dc:creator>
  <cp:keywords/>
  <dc:description/>
  <cp:lastModifiedBy>HP</cp:lastModifiedBy>
  <cp:revision>10</cp:revision>
  <dcterms:created xsi:type="dcterms:W3CDTF">2018-01-01T09:46:00Z</dcterms:created>
  <dcterms:modified xsi:type="dcterms:W3CDTF">2018-02-08T08:43:00Z</dcterms:modified>
</cp:coreProperties>
</file>